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4217F">
      <w:pPr>
        <w:keepNext w:val="0"/>
        <w:keepLines w:val="0"/>
        <w:pageBreakBefore w:val="0"/>
        <w:wordWrap/>
        <w:overflowPunct/>
        <w:topLinePunct w:val="0"/>
        <w:bidi w:val="0"/>
        <w:spacing w:line="560" w:lineRule="exact"/>
        <w:ind w:left="0"/>
        <w:jc w:val="left"/>
        <w:rPr>
          <w:rFonts w:hint="eastAsia" w:ascii="黑体" w:hAnsi="黑体" w:eastAsia="黑体" w:cs="黑体"/>
          <w:b w:val="0"/>
          <w:bCs w:val="0"/>
          <w:spacing w:val="6"/>
          <w:sz w:val="32"/>
          <w:szCs w:val="32"/>
          <w:lang w:val="en-US" w:eastAsia="zh-CN"/>
        </w:rPr>
      </w:pPr>
      <w:r>
        <w:rPr>
          <w:rFonts w:hint="eastAsia" w:ascii="黑体" w:hAnsi="黑体" w:eastAsia="黑体" w:cs="黑体"/>
          <w:b w:val="0"/>
          <w:bCs w:val="0"/>
          <w:spacing w:val="6"/>
          <w:sz w:val="32"/>
          <w:szCs w:val="32"/>
          <w:lang w:val="en-US" w:eastAsia="zh-CN"/>
        </w:rPr>
        <w:t>附件4</w:t>
      </w:r>
    </w:p>
    <w:p w14:paraId="7B2F5E63">
      <w:pPr>
        <w:keepNext w:val="0"/>
        <w:keepLines w:val="0"/>
        <w:pageBreakBefore w:val="0"/>
        <w:wordWrap/>
        <w:overflowPunct/>
        <w:topLinePunct w:val="0"/>
        <w:bidi w:val="0"/>
        <w:spacing w:line="560" w:lineRule="exact"/>
        <w:ind w:left="0"/>
        <w:jc w:val="center"/>
        <w:rPr>
          <w:rFonts w:hint="eastAsia" w:ascii="方正小标宋简体" w:hAnsi="方正小标宋简体" w:eastAsia="方正小标宋简体" w:cs="方正小标宋简体"/>
          <w:b w:val="0"/>
          <w:bCs w:val="0"/>
          <w:spacing w:val="6"/>
          <w:sz w:val="44"/>
          <w:szCs w:val="44"/>
          <w:lang w:val="en-US" w:eastAsia="zh-CN"/>
        </w:rPr>
      </w:pPr>
    </w:p>
    <w:p w14:paraId="2A97126F">
      <w:pPr>
        <w:keepNext w:val="0"/>
        <w:keepLines w:val="0"/>
        <w:pageBreakBefore w:val="0"/>
        <w:wordWrap/>
        <w:overflowPunct/>
        <w:topLinePunct w:val="0"/>
        <w:bidi w:val="0"/>
        <w:spacing w:line="560" w:lineRule="exact"/>
        <w:ind w:left="0"/>
        <w:jc w:val="center"/>
        <w:rPr>
          <w:rFonts w:hint="default" w:ascii="方正小标宋简体" w:hAnsi="方正小标宋简体" w:eastAsia="方正小标宋简体" w:cs="方正小标宋简体"/>
          <w:b w:val="0"/>
          <w:bCs w:val="0"/>
          <w:spacing w:val="6"/>
          <w:sz w:val="44"/>
          <w:szCs w:val="44"/>
          <w:lang w:val="en-US" w:eastAsia="zh-CN"/>
        </w:rPr>
      </w:pPr>
      <w:bookmarkStart w:id="11" w:name="_GoBack"/>
      <w:bookmarkEnd w:id="11"/>
      <w:r>
        <w:rPr>
          <w:rFonts w:hint="eastAsia" w:ascii="方正小标宋简体" w:hAnsi="方正小标宋简体" w:eastAsia="方正小标宋简体" w:cs="方正小标宋简体"/>
          <w:b w:val="0"/>
          <w:bCs w:val="0"/>
          <w:spacing w:val="6"/>
          <w:sz w:val="44"/>
          <w:szCs w:val="44"/>
          <w:lang w:val="en-US" w:eastAsia="zh-CN"/>
        </w:rPr>
        <w:t>朝阳区高层次人才服务中心</w:t>
      </w:r>
    </w:p>
    <w:p w14:paraId="652B716C">
      <w:pPr>
        <w:keepNext w:val="0"/>
        <w:keepLines w:val="0"/>
        <w:pageBreakBefore w:val="0"/>
        <w:wordWrap/>
        <w:overflowPunct/>
        <w:topLinePunct w:val="0"/>
        <w:bidi w:val="0"/>
        <w:spacing w:line="560" w:lineRule="exact"/>
        <w:ind w:left="0"/>
        <w:jc w:val="center"/>
        <w:rPr>
          <w:rFonts w:hint="eastAsia" w:ascii="方正小标宋简体" w:hAnsi="方正小标宋简体" w:eastAsia="方正小标宋简体" w:cs="方正小标宋简体"/>
          <w:b w:val="0"/>
          <w:bCs w:val="0"/>
          <w:spacing w:val="6"/>
          <w:sz w:val="44"/>
          <w:szCs w:val="44"/>
        </w:rPr>
      </w:pPr>
      <w:r>
        <w:rPr>
          <w:rFonts w:hint="eastAsia" w:ascii="方正小标宋简体" w:hAnsi="方正小标宋简体" w:eastAsia="方正小标宋简体" w:cs="方正小标宋简体"/>
          <w:b w:val="0"/>
          <w:bCs w:val="0"/>
          <w:spacing w:val="6"/>
          <w:sz w:val="44"/>
          <w:szCs w:val="44"/>
        </w:rPr>
        <w:t>ITEC朝阳国际人才创业大会奖励扶持</w:t>
      </w:r>
    </w:p>
    <w:p w14:paraId="18C9E2E7">
      <w:pPr>
        <w:keepNext w:val="0"/>
        <w:keepLines w:val="0"/>
        <w:pageBreakBefore w:val="0"/>
        <w:wordWrap/>
        <w:overflowPunct/>
        <w:topLinePunct w:val="0"/>
        <w:bidi w:val="0"/>
        <w:spacing w:line="560" w:lineRule="exact"/>
        <w:ind w:left="0"/>
        <w:jc w:val="center"/>
        <w:rPr>
          <w:rFonts w:ascii="Arial"/>
          <w:sz w:val="21"/>
        </w:rPr>
      </w:pPr>
      <w:r>
        <w:rPr>
          <w:rFonts w:hint="eastAsia" w:ascii="方正小标宋简体" w:hAnsi="方正小标宋简体" w:eastAsia="方正小标宋简体" w:cs="方正小标宋简体"/>
          <w:b w:val="0"/>
          <w:bCs w:val="0"/>
          <w:spacing w:val="6"/>
          <w:sz w:val="44"/>
          <w:szCs w:val="44"/>
        </w:rPr>
        <w:t>绩效评价报告</w:t>
      </w:r>
    </w:p>
    <w:p w14:paraId="51541980">
      <w:pPr>
        <w:keepNext w:val="0"/>
        <w:keepLines w:val="0"/>
        <w:pageBreakBefore w:val="0"/>
        <w:wordWrap/>
        <w:overflowPunct/>
        <w:topLinePunct w:val="0"/>
        <w:bidi w:val="0"/>
        <w:spacing w:line="560" w:lineRule="exact"/>
        <w:ind w:left="0"/>
        <w:rPr>
          <w:rFonts w:ascii="Arial"/>
          <w:sz w:val="21"/>
        </w:rPr>
      </w:pPr>
    </w:p>
    <w:p w14:paraId="7E42A51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黑体" w:cs="Times New Roman"/>
          <w:b w:val="0"/>
          <w:bCs/>
          <w:kern w:val="2"/>
          <w:sz w:val="32"/>
          <w:szCs w:val="24"/>
          <w:lang w:val="en-US" w:eastAsia="zh-CN"/>
        </w:rPr>
      </w:pPr>
      <w:r>
        <w:rPr>
          <w:rFonts w:hint="default" w:ascii="Times New Roman" w:hAnsi="Times New Roman" w:eastAsia="黑体" w:cs="Times New Roman"/>
          <w:b w:val="0"/>
          <w:bCs/>
          <w:kern w:val="2"/>
          <w:sz w:val="32"/>
          <w:szCs w:val="24"/>
          <w:lang w:val="en-US" w:eastAsia="zh-CN"/>
        </w:rPr>
        <w:t>一、基本情况</w:t>
      </w:r>
    </w:p>
    <w:p w14:paraId="580A1B3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default" w:ascii="Times New Roman" w:hAnsi="Times New Roman" w:eastAsia="楷体_GB2312" w:cs="Times New Roman"/>
          <w:b/>
          <w:bCs w:val="0"/>
          <w:kern w:val="2"/>
          <w:sz w:val="32"/>
          <w:szCs w:val="24"/>
          <w:lang w:eastAsia="zh-CN"/>
        </w:rPr>
      </w:pPr>
      <w:r>
        <w:rPr>
          <w:rFonts w:hint="eastAsia" w:ascii="Times New Roman" w:hAnsi="Times New Roman" w:eastAsia="楷体_GB2312" w:cs="Times New Roman"/>
          <w:b/>
          <w:bCs w:val="0"/>
          <w:kern w:val="2"/>
          <w:sz w:val="32"/>
          <w:szCs w:val="24"/>
          <w:lang w:eastAsia="zh-CN"/>
        </w:rPr>
        <w:t>（</w:t>
      </w:r>
      <w:r>
        <w:rPr>
          <w:rFonts w:hint="default" w:ascii="Times New Roman" w:hAnsi="Times New Roman" w:eastAsia="楷体_GB2312" w:cs="Times New Roman"/>
          <w:b/>
          <w:bCs w:val="0"/>
          <w:kern w:val="2"/>
          <w:sz w:val="32"/>
          <w:szCs w:val="24"/>
          <w:lang w:eastAsia="zh-CN"/>
        </w:rPr>
        <w:t>一</w:t>
      </w:r>
      <w:r>
        <w:rPr>
          <w:rFonts w:hint="eastAsia" w:ascii="Times New Roman" w:hAnsi="Times New Roman" w:eastAsia="楷体_GB2312" w:cs="Times New Roman"/>
          <w:b/>
          <w:bCs w:val="0"/>
          <w:kern w:val="2"/>
          <w:sz w:val="32"/>
          <w:szCs w:val="24"/>
          <w:lang w:eastAsia="zh-CN"/>
        </w:rPr>
        <w:t>）</w:t>
      </w:r>
      <w:r>
        <w:rPr>
          <w:rFonts w:hint="default" w:ascii="Times New Roman" w:hAnsi="Times New Roman" w:eastAsia="楷体_GB2312" w:cs="Times New Roman"/>
          <w:b/>
          <w:bCs w:val="0"/>
          <w:kern w:val="2"/>
          <w:sz w:val="32"/>
          <w:szCs w:val="24"/>
          <w:lang w:eastAsia="zh-CN"/>
        </w:rPr>
        <w:t>项目概况</w:t>
      </w:r>
    </w:p>
    <w:p w14:paraId="3D18D9F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1.项目背景</w:t>
      </w:r>
    </w:p>
    <w:p w14:paraId="23B2EF7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朝阳国际人才创业大会（ITEC）作为具有一定国际知名度和影响力、服务国际人才创新创业的“朝阳品牌”，已成功举办十届。为加快推进高水平人才高地和国际科创中心建设，深入实施“科技+商务”双轮驱动发展战略，激发人才创新创造活力，为区域经济社会发展提供坚实人才支撑，</w:t>
      </w:r>
      <w:r>
        <w:rPr>
          <w:rFonts w:hint="default" w:ascii="Times New Roman" w:hAnsi="Times New Roman" w:eastAsia="仿宋_GB2312" w:cs="Times New Roman"/>
          <w:sz w:val="32"/>
          <w:szCs w:val="32"/>
          <w:lang w:eastAsia="zh-CN"/>
        </w:rPr>
        <w:t>朝阳区高层次人才服务中心</w:t>
      </w:r>
      <w:r>
        <w:rPr>
          <w:rFonts w:hint="default" w:ascii="Times New Roman" w:hAnsi="Times New Roman" w:eastAsia="仿宋_GB2312" w:cs="Times New Roman"/>
          <w:sz w:val="32"/>
          <w:szCs w:val="32"/>
        </w:rPr>
        <w:t>举办第十一届朝阳国际人才创业大会（ITEC）</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并为符合条件的第十届和第十一届获奖项目兑现奖励。</w:t>
      </w:r>
    </w:p>
    <w:p w14:paraId="6E417FE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napToGrid w:val="0"/>
          <w:kern w:val="0"/>
          <w:sz w:val="32"/>
          <w:szCs w:val="32"/>
          <w:lang w:val="en-US" w:eastAsia="zh-CN"/>
        </w:rPr>
        <w:t>根据</w:t>
      </w:r>
      <w:r>
        <w:rPr>
          <w:rFonts w:hint="eastAsia" w:ascii="Times New Roman" w:hAnsi="Times New Roman" w:eastAsia="仿宋_GB2312"/>
          <w:kern w:val="0"/>
          <w:sz w:val="32"/>
          <w:szCs w:val="32"/>
        </w:rPr>
        <w:t>十</w:t>
      </w:r>
      <w:r>
        <w:rPr>
          <w:rFonts w:hint="eastAsia" w:ascii="Times New Roman" w:hAnsi="Times New Roman" w:eastAsia="仿宋_GB2312" w:cs="Times New Roman"/>
          <w:sz w:val="32"/>
          <w:szCs w:val="32"/>
        </w:rPr>
        <w:t>三届区委常委会2022年第21次</w:t>
      </w:r>
      <w:r>
        <w:rPr>
          <w:rFonts w:hint="eastAsia" w:ascii="Times New Roman" w:hAnsi="Times New Roman" w:eastAsia="仿宋_GB2312" w:cs="Times New Roman"/>
          <w:sz w:val="32"/>
          <w:szCs w:val="32"/>
          <w:lang w:eastAsia="zh-CN"/>
        </w:rPr>
        <w:t>会议和</w:t>
      </w:r>
      <w:r>
        <w:rPr>
          <w:rFonts w:hint="default" w:ascii="Times New Roman" w:hAnsi="Times New Roman" w:eastAsia="仿宋_GB2312" w:cs="Times New Roman"/>
          <w:kern w:val="0"/>
          <w:sz w:val="32"/>
          <w:szCs w:val="32"/>
        </w:rPr>
        <w:t>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年第2</w:t>
      </w: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次会议通过的</w:t>
      </w:r>
      <w:r>
        <w:rPr>
          <w:rFonts w:hint="default" w:ascii="Times New Roman" w:hAnsi="Times New Roman" w:eastAsia="仿宋_GB2312" w:cs="Times New Roman"/>
          <w:snapToGrid w:val="0"/>
          <w:kern w:val="0"/>
          <w:sz w:val="32"/>
          <w:szCs w:val="32"/>
        </w:rPr>
        <w:t>筹备工作方案</w:t>
      </w:r>
      <w:r>
        <w:rPr>
          <w:rFonts w:hint="default" w:ascii="Times New Roman" w:hAnsi="Times New Roman" w:eastAsia="仿宋_GB2312" w:cs="Times New Roman"/>
          <w:snapToGrid w:val="0"/>
          <w:kern w:val="0"/>
          <w:sz w:val="32"/>
          <w:szCs w:val="32"/>
          <w:lang w:eastAsia="zh-CN"/>
        </w:rPr>
        <w:t>，第十届按照特等奖500万元</w:t>
      </w:r>
      <w:r>
        <w:rPr>
          <w:rFonts w:hint="default" w:ascii="Times New Roman" w:hAnsi="Times New Roman" w:eastAsia="仿宋_GB2312" w:cs="Times New Roman"/>
          <w:snapToGrid w:val="0"/>
          <w:kern w:val="0"/>
          <w:sz w:val="32"/>
          <w:szCs w:val="32"/>
          <w:highlight w:val="none"/>
        </w:rPr>
        <w:t>（</w:t>
      </w:r>
      <w:r>
        <w:rPr>
          <w:rFonts w:hint="default" w:ascii="Times New Roman" w:hAnsi="Times New Roman" w:eastAsia="仿宋_GB2312" w:cs="Times New Roman"/>
          <w:snapToGrid w:val="0"/>
          <w:kern w:val="0"/>
          <w:sz w:val="32"/>
          <w:szCs w:val="32"/>
          <w:highlight w:val="none"/>
          <w:lang w:val="en-US" w:eastAsia="zh-CN"/>
        </w:rPr>
        <w:t>1</w:t>
      </w:r>
      <w:r>
        <w:rPr>
          <w:rFonts w:hint="default" w:ascii="Times New Roman" w:hAnsi="Times New Roman" w:eastAsia="仿宋_GB2312" w:cs="Times New Roman"/>
          <w:snapToGrid w:val="0"/>
          <w:kern w:val="0"/>
          <w:sz w:val="32"/>
          <w:szCs w:val="32"/>
          <w:highlight w:val="none"/>
        </w:rPr>
        <w:t>名）</w:t>
      </w:r>
      <w:r>
        <w:rPr>
          <w:rFonts w:hint="default" w:ascii="Times New Roman" w:hAnsi="Times New Roman" w:eastAsia="仿宋_GB2312" w:cs="Times New Roman"/>
          <w:snapToGrid w:val="0"/>
          <w:kern w:val="0"/>
          <w:sz w:val="32"/>
          <w:szCs w:val="32"/>
          <w:lang w:eastAsia="zh-CN"/>
        </w:rPr>
        <w:t>、一等奖200万元</w:t>
      </w:r>
      <w:r>
        <w:rPr>
          <w:rFonts w:hint="default" w:ascii="Times New Roman" w:hAnsi="Times New Roman" w:eastAsia="仿宋_GB2312" w:cs="Times New Roman"/>
          <w:snapToGrid w:val="0"/>
          <w:kern w:val="0"/>
          <w:sz w:val="32"/>
          <w:szCs w:val="32"/>
          <w:highlight w:val="none"/>
        </w:rPr>
        <w:t>（</w:t>
      </w:r>
      <w:r>
        <w:rPr>
          <w:rFonts w:hint="eastAsia" w:ascii="Times New Roman" w:hAnsi="Times New Roman" w:eastAsia="仿宋_GB2312" w:cs="Times New Roman"/>
          <w:snapToGrid w:val="0"/>
          <w:kern w:val="0"/>
          <w:sz w:val="32"/>
          <w:szCs w:val="32"/>
          <w:highlight w:val="none"/>
          <w:lang w:val="en-US" w:eastAsia="zh-CN"/>
        </w:rPr>
        <w:t>2</w:t>
      </w:r>
      <w:r>
        <w:rPr>
          <w:rFonts w:hint="default" w:ascii="Times New Roman" w:hAnsi="Times New Roman" w:eastAsia="仿宋_GB2312" w:cs="Times New Roman"/>
          <w:snapToGrid w:val="0"/>
          <w:kern w:val="0"/>
          <w:sz w:val="32"/>
          <w:szCs w:val="32"/>
          <w:highlight w:val="none"/>
        </w:rPr>
        <w:t>名）</w:t>
      </w:r>
      <w:r>
        <w:rPr>
          <w:rFonts w:hint="default" w:ascii="Times New Roman" w:hAnsi="Times New Roman" w:eastAsia="仿宋_GB2312" w:cs="Times New Roman"/>
          <w:snapToGrid w:val="0"/>
          <w:kern w:val="0"/>
          <w:sz w:val="32"/>
          <w:szCs w:val="32"/>
          <w:lang w:eastAsia="zh-CN"/>
        </w:rPr>
        <w:t>、二等奖100万元</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napToGrid w:val="0"/>
          <w:kern w:val="0"/>
          <w:sz w:val="32"/>
          <w:szCs w:val="32"/>
          <w:lang w:val="en-US" w:eastAsia="zh-CN"/>
        </w:rPr>
        <w:t>4</w:t>
      </w:r>
      <w:r>
        <w:rPr>
          <w:rFonts w:hint="default" w:ascii="Times New Roman" w:hAnsi="Times New Roman" w:eastAsia="仿宋_GB2312" w:cs="Times New Roman"/>
          <w:snapToGrid w:val="0"/>
          <w:kern w:val="0"/>
          <w:sz w:val="32"/>
          <w:szCs w:val="32"/>
        </w:rPr>
        <w:t>名）</w:t>
      </w:r>
      <w:r>
        <w:rPr>
          <w:rFonts w:hint="default" w:ascii="Times New Roman" w:hAnsi="Times New Roman" w:eastAsia="仿宋_GB2312" w:cs="Times New Roman"/>
          <w:snapToGrid w:val="0"/>
          <w:kern w:val="0"/>
          <w:sz w:val="32"/>
          <w:szCs w:val="32"/>
          <w:lang w:eastAsia="zh-CN"/>
        </w:rPr>
        <w:t>、三等奖50万元</w:t>
      </w:r>
      <w:r>
        <w:rPr>
          <w:rFonts w:hint="default" w:ascii="Times New Roman" w:hAnsi="Times New Roman" w:eastAsia="仿宋_GB2312" w:cs="Times New Roman"/>
          <w:snapToGrid w:val="0"/>
          <w:kern w:val="0"/>
          <w:sz w:val="32"/>
          <w:szCs w:val="32"/>
        </w:rPr>
        <w:t>（</w:t>
      </w:r>
      <w:r>
        <w:rPr>
          <w:rFonts w:hint="eastAsia" w:ascii="Times New Roman" w:hAnsi="Times New Roman" w:eastAsia="仿宋_GB2312" w:cs="Times New Roman"/>
          <w:snapToGrid w:val="0"/>
          <w:kern w:val="0"/>
          <w:sz w:val="32"/>
          <w:szCs w:val="32"/>
          <w:lang w:val="en-US" w:eastAsia="zh-CN"/>
        </w:rPr>
        <w:t>6</w:t>
      </w:r>
      <w:r>
        <w:rPr>
          <w:rFonts w:hint="default" w:ascii="Times New Roman" w:hAnsi="Times New Roman" w:eastAsia="仿宋_GB2312" w:cs="Times New Roman"/>
          <w:snapToGrid w:val="0"/>
          <w:kern w:val="0"/>
          <w:sz w:val="32"/>
          <w:szCs w:val="32"/>
        </w:rPr>
        <w:t>名）</w:t>
      </w:r>
      <w:r>
        <w:rPr>
          <w:rFonts w:hint="default" w:ascii="Times New Roman" w:hAnsi="Times New Roman" w:eastAsia="仿宋_GB2312" w:cs="Times New Roman"/>
          <w:snapToGrid w:val="0"/>
          <w:kern w:val="0"/>
          <w:sz w:val="32"/>
          <w:szCs w:val="32"/>
          <w:lang w:eastAsia="zh-CN"/>
        </w:rPr>
        <w:t>、优胜奖20万元</w:t>
      </w:r>
      <w:r>
        <w:rPr>
          <w:rFonts w:hint="default" w:ascii="Times New Roman" w:hAnsi="Times New Roman" w:eastAsia="仿宋_GB2312" w:cs="Times New Roman"/>
          <w:snapToGrid w:val="0"/>
          <w:kern w:val="0"/>
          <w:sz w:val="32"/>
          <w:szCs w:val="32"/>
        </w:rPr>
        <w:t>（30名）</w:t>
      </w:r>
      <w:r>
        <w:rPr>
          <w:rFonts w:hint="default" w:ascii="Times New Roman" w:hAnsi="Times New Roman" w:eastAsia="仿宋_GB2312" w:cs="Times New Roman"/>
          <w:snapToGrid w:val="0"/>
          <w:kern w:val="0"/>
          <w:sz w:val="32"/>
          <w:szCs w:val="32"/>
          <w:lang w:eastAsia="zh-CN"/>
        </w:rPr>
        <w:t>的标准</w:t>
      </w:r>
      <w:r>
        <w:rPr>
          <w:rFonts w:hint="eastAsia" w:ascii="Times New Roman" w:hAnsi="Times New Roman" w:eastAsia="仿宋_GB2312" w:cs="Times New Roman"/>
          <w:snapToGrid w:val="0"/>
          <w:kern w:val="0"/>
          <w:sz w:val="32"/>
          <w:szCs w:val="32"/>
          <w:lang w:eastAsia="zh-CN"/>
        </w:rPr>
        <w:t>分两年兑现奖励；第十一届</w:t>
      </w:r>
      <w:r>
        <w:rPr>
          <w:rFonts w:hint="default" w:ascii="Times New Roman" w:hAnsi="Times New Roman" w:eastAsia="仿宋_GB2312" w:cs="Times New Roman"/>
          <w:kern w:val="0"/>
          <w:sz w:val="32"/>
          <w:szCs w:val="32"/>
        </w:rPr>
        <w:t>按照</w:t>
      </w:r>
      <w:r>
        <w:rPr>
          <w:rFonts w:hint="default" w:ascii="Times New Roman" w:hAnsi="Times New Roman" w:eastAsia="仿宋_GB2312" w:cs="Times New Roman"/>
          <w:snapToGrid w:val="0"/>
          <w:kern w:val="0"/>
          <w:sz w:val="32"/>
          <w:szCs w:val="32"/>
          <w:highlight w:val="none"/>
        </w:rPr>
        <w:t>特等奖500万元（</w:t>
      </w:r>
      <w:r>
        <w:rPr>
          <w:rFonts w:hint="default" w:ascii="Times New Roman" w:hAnsi="Times New Roman" w:eastAsia="仿宋_GB2312" w:cs="Times New Roman"/>
          <w:snapToGrid w:val="0"/>
          <w:kern w:val="0"/>
          <w:sz w:val="32"/>
          <w:szCs w:val="32"/>
          <w:highlight w:val="none"/>
          <w:lang w:val="en-US" w:eastAsia="zh-CN"/>
        </w:rPr>
        <w:t>1</w:t>
      </w:r>
      <w:r>
        <w:rPr>
          <w:rFonts w:hint="default" w:ascii="Times New Roman" w:hAnsi="Times New Roman" w:eastAsia="仿宋_GB2312" w:cs="Times New Roman"/>
          <w:snapToGrid w:val="0"/>
          <w:kern w:val="0"/>
          <w:sz w:val="32"/>
          <w:szCs w:val="32"/>
          <w:highlight w:val="none"/>
        </w:rPr>
        <w:t>名）</w:t>
      </w:r>
      <w:r>
        <w:rPr>
          <w:rFonts w:hint="default" w:ascii="Times New Roman" w:hAnsi="Times New Roman" w:eastAsia="仿宋_GB2312" w:cs="Times New Roman"/>
          <w:snapToGrid w:val="0"/>
          <w:kern w:val="0"/>
          <w:sz w:val="32"/>
          <w:szCs w:val="32"/>
        </w:rPr>
        <w:t>、一等奖</w:t>
      </w:r>
      <w:r>
        <w:rPr>
          <w:rFonts w:hint="default" w:ascii="Times New Roman" w:hAnsi="Times New Roman" w:eastAsia="仿宋_GB2312" w:cs="Times New Roman"/>
          <w:snapToGrid w:val="0"/>
          <w:kern w:val="0"/>
          <w:sz w:val="32"/>
          <w:szCs w:val="32"/>
          <w:lang w:val="en-US" w:eastAsia="zh-CN"/>
        </w:rPr>
        <w:t>3</w:t>
      </w:r>
      <w:r>
        <w:rPr>
          <w:rFonts w:hint="default" w:ascii="Times New Roman" w:hAnsi="Times New Roman" w:eastAsia="仿宋_GB2312" w:cs="Times New Roman"/>
          <w:snapToGrid w:val="0"/>
          <w:kern w:val="0"/>
          <w:sz w:val="32"/>
          <w:szCs w:val="32"/>
        </w:rPr>
        <w:t>00万元（</w:t>
      </w:r>
      <w:r>
        <w:rPr>
          <w:rFonts w:hint="default" w:ascii="Times New Roman" w:hAnsi="Times New Roman" w:eastAsia="仿宋_GB2312" w:cs="Times New Roman"/>
          <w:snapToGrid w:val="0"/>
          <w:kern w:val="0"/>
          <w:sz w:val="32"/>
          <w:szCs w:val="32"/>
          <w:lang w:val="en-US" w:eastAsia="zh-CN"/>
        </w:rPr>
        <w:t>4</w:t>
      </w:r>
      <w:r>
        <w:rPr>
          <w:rFonts w:hint="default" w:ascii="Times New Roman" w:hAnsi="Times New Roman" w:eastAsia="仿宋_GB2312" w:cs="Times New Roman"/>
          <w:snapToGrid w:val="0"/>
          <w:kern w:val="0"/>
          <w:sz w:val="32"/>
          <w:szCs w:val="32"/>
        </w:rPr>
        <w:t>名）、二等奖</w:t>
      </w:r>
      <w:r>
        <w:rPr>
          <w:rFonts w:hint="default" w:ascii="Times New Roman" w:hAnsi="Times New Roman" w:eastAsia="仿宋_GB2312" w:cs="Times New Roman"/>
          <w:snapToGrid w:val="0"/>
          <w:kern w:val="0"/>
          <w:sz w:val="32"/>
          <w:szCs w:val="32"/>
          <w:lang w:val="en-US" w:eastAsia="zh-CN"/>
        </w:rPr>
        <w:t>2</w:t>
      </w:r>
      <w:r>
        <w:rPr>
          <w:rFonts w:hint="default" w:ascii="Times New Roman" w:hAnsi="Times New Roman" w:eastAsia="仿宋_GB2312" w:cs="Times New Roman"/>
          <w:snapToGrid w:val="0"/>
          <w:kern w:val="0"/>
          <w:sz w:val="32"/>
          <w:szCs w:val="32"/>
        </w:rPr>
        <w:t>00万元（</w:t>
      </w:r>
      <w:r>
        <w:rPr>
          <w:rFonts w:hint="default" w:ascii="Times New Roman" w:hAnsi="Times New Roman" w:eastAsia="仿宋_GB2312" w:cs="Times New Roman"/>
          <w:snapToGrid w:val="0"/>
          <w:kern w:val="0"/>
          <w:sz w:val="32"/>
          <w:szCs w:val="32"/>
          <w:lang w:val="en-US" w:eastAsia="zh-CN"/>
        </w:rPr>
        <w:t>8</w:t>
      </w:r>
      <w:r>
        <w:rPr>
          <w:rFonts w:hint="default" w:ascii="Times New Roman" w:hAnsi="Times New Roman" w:eastAsia="仿宋_GB2312" w:cs="Times New Roman"/>
          <w:snapToGrid w:val="0"/>
          <w:kern w:val="0"/>
          <w:sz w:val="32"/>
          <w:szCs w:val="32"/>
        </w:rPr>
        <w:t>名）、三等奖</w:t>
      </w:r>
      <w:r>
        <w:rPr>
          <w:rFonts w:hint="default" w:ascii="Times New Roman" w:hAnsi="Times New Roman" w:eastAsia="仿宋_GB2312" w:cs="Times New Roman"/>
          <w:snapToGrid w:val="0"/>
          <w:kern w:val="0"/>
          <w:sz w:val="32"/>
          <w:szCs w:val="32"/>
          <w:lang w:val="en-US" w:eastAsia="zh-CN"/>
        </w:rPr>
        <w:t>10</w:t>
      </w:r>
      <w:r>
        <w:rPr>
          <w:rFonts w:hint="default" w:ascii="Times New Roman" w:hAnsi="Times New Roman" w:eastAsia="仿宋_GB2312" w:cs="Times New Roman"/>
          <w:snapToGrid w:val="0"/>
          <w:kern w:val="0"/>
          <w:sz w:val="32"/>
          <w:szCs w:val="32"/>
        </w:rPr>
        <w:t>0万元（</w:t>
      </w:r>
      <w:r>
        <w:rPr>
          <w:rFonts w:hint="default" w:ascii="Times New Roman" w:hAnsi="Times New Roman" w:eastAsia="仿宋_GB2312" w:cs="Times New Roman"/>
          <w:snapToGrid w:val="0"/>
          <w:kern w:val="0"/>
          <w:sz w:val="32"/>
          <w:szCs w:val="32"/>
          <w:lang w:val="en-US" w:eastAsia="zh-CN"/>
        </w:rPr>
        <w:t>16</w:t>
      </w:r>
      <w:r>
        <w:rPr>
          <w:rFonts w:hint="default" w:ascii="Times New Roman" w:hAnsi="Times New Roman" w:eastAsia="仿宋_GB2312" w:cs="Times New Roman"/>
          <w:snapToGrid w:val="0"/>
          <w:kern w:val="0"/>
          <w:sz w:val="32"/>
          <w:szCs w:val="32"/>
        </w:rPr>
        <w:t>名）、优胜奖20万元（30名）</w:t>
      </w:r>
      <w:r>
        <w:rPr>
          <w:rFonts w:hint="default" w:ascii="Times New Roman" w:hAnsi="Times New Roman" w:eastAsia="仿宋_GB2312" w:cs="Times New Roman"/>
          <w:snapToGrid w:val="0"/>
          <w:kern w:val="0"/>
          <w:sz w:val="32"/>
          <w:szCs w:val="32"/>
          <w:lang w:val="en-US" w:eastAsia="zh-CN"/>
        </w:rPr>
        <w:t>的标准分两年兑现奖励</w:t>
      </w:r>
      <w:r>
        <w:rPr>
          <w:rFonts w:hint="default" w:ascii="Times New Roman" w:hAnsi="Times New Roman" w:eastAsia="仿宋_GB2312" w:cs="Times New Roman"/>
          <w:snapToGrid w:val="0"/>
          <w:kern w:val="0"/>
          <w:sz w:val="32"/>
          <w:szCs w:val="32"/>
          <w:lang w:eastAsia="zh-CN"/>
        </w:rPr>
        <w:t>；</w:t>
      </w:r>
      <w:r>
        <w:rPr>
          <w:rFonts w:hint="default" w:ascii="Times New Roman" w:hAnsi="Times New Roman" w:eastAsia="仿宋_GB2312" w:cs="Times New Roman"/>
          <w:b w:val="0"/>
          <w:bCs w:val="0"/>
          <w:snapToGrid w:val="0"/>
          <w:kern w:val="0"/>
          <w:sz w:val="32"/>
          <w:szCs w:val="32"/>
          <w:highlight w:val="none"/>
          <w:lang w:val="en-US" w:eastAsia="zh-CN"/>
        </w:rPr>
        <w:t>落地助力官</w:t>
      </w:r>
      <w:r>
        <w:rPr>
          <w:rFonts w:hint="default" w:ascii="Times New Roman" w:hAnsi="Times New Roman" w:eastAsia="仿宋_GB2312" w:cs="Times New Roman"/>
          <w:snapToGrid w:val="0"/>
          <w:kern w:val="0"/>
          <w:sz w:val="32"/>
          <w:szCs w:val="32"/>
          <w:highlight w:val="none"/>
          <w:lang w:val="en-US" w:eastAsia="zh-CN"/>
        </w:rPr>
        <w:t>按照</w:t>
      </w:r>
      <w:r>
        <w:rPr>
          <w:rFonts w:hint="default" w:ascii="Times New Roman" w:hAnsi="Times New Roman" w:eastAsia="仿宋_GB2312" w:cs="Times New Roman"/>
          <w:sz w:val="32"/>
          <w:szCs w:val="32"/>
          <w:highlight w:val="none"/>
        </w:rPr>
        <w:t>推荐</w:t>
      </w:r>
      <w:r>
        <w:rPr>
          <w:rFonts w:hint="default" w:ascii="Times New Roman" w:hAnsi="Times New Roman" w:eastAsia="仿宋_GB2312" w:cs="Times New Roman"/>
          <w:sz w:val="32"/>
          <w:szCs w:val="32"/>
          <w:highlight w:val="none"/>
          <w:lang w:val="en-US" w:eastAsia="zh-CN"/>
        </w:rPr>
        <w:t>获奖</w:t>
      </w:r>
      <w:r>
        <w:rPr>
          <w:rFonts w:hint="default" w:ascii="Times New Roman" w:hAnsi="Times New Roman" w:eastAsia="仿宋_GB2312" w:cs="Times New Roman"/>
          <w:sz w:val="32"/>
          <w:szCs w:val="32"/>
          <w:highlight w:val="none"/>
        </w:rPr>
        <w:t>项目</w:t>
      </w:r>
      <w:r>
        <w:rPr>
          <w:rFonts w:hint="default" w:ascii="Times New Roman" w:hAnsi="Times New Roman" w:eastAsia="仿宋_GB2312" w:cs="Times New Roman"/>
          <w:sz w:val="32"/>
          <w:szCs w:val="32"/>
          <w:highlight w:val="none"/>
          <w:lang w:val="en-US" w:eastAsia="zh-CN"/>
        </w:rPr>
        <w:t>总</w:t>
      </w:r>
      <w:r>
        <w:rPr>
          <w:rFonts w:hint="default" w:ascii="Times New Roman" w:hAnsi="Times New Roman" w:eastAsia="仿宋_GB2312" w:cs="Times New Roman"/>
          <w:sz w:val="32"/>
          <w:szCs w:val="32"/>
          <w:highlight w:val="none"/>
        </w:rPr>
        <w:t>奖金的10%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最高不超过50万元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进行奖励。</w:t>
      </w:r>
    </w:p>
    <w:p w14:paraId="45344C8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2.主要内容及实施情况</w:t>
      </w:r>
    </w:p>
    <w:p w14:paraId="106ACCF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具体工作内容包括：举办领奖交流座谈会，跟进项目落地进展，审核项目申报材料，</w:t>
      </w:r>
      <w:r>
        <w:rPr>
          <w:rFonts w:hint="default" w:ascii="Times New Roman" w:hAnsi="Times New Roman" w:eastAsia="仿宋_GB2312" w:cs="Times New Roman"/>
          <w:sz w:val="32"/>
          <w:szCs w:val="32"/>
        </w:rPr>
        <w:t>为企业及其对应的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落地助力官</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进行奖励兑现，及时拨付至企业账户</w:t>
      </w:r>
      <w:r>
        <w:rPr>
          <w:rFonts w:hint="default" w:ascii="Times New Roman" w:hAnsi="Times New Roman" w:eastAsia="仿宋_GB2312" w:cs="Times New Roman"/>
          <w:sz w:val="32"/>
          <w:szCs w:val="32"/>
          <w:lang w:eastAsia="zh-CN"/>
        </w:rPr>
        <w:t>。</w:t>
      </w:r>
    </w:p>
    <w:p w14:paraId="7EE29F3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3.资金投入和使用情况</w:t>
      </w:r>
    </w:p>
    <w:p w14:paraId="40C518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朝阳区高层次人才服务中心202</w:t>
      </w:r>
      <w:r>
        <w:rPr>
          <w:rFonts w:hint="eastAsia" w:ascii="Times New Roman" w:hAnsi="Times New Roman" w:eastAsia="仿宋_GB2312" w:cs="Times New Roman"/>
          <w:b w:val="0"/>
          <w:bCs/>
          <w:kern w:val="2"/>
          <w:sz w:val="32"/>
          <w:szCs w:val="24"/>
          <w:lang w:val="en-US" w:eastAsia="zh-CN"/>
        </w:rPr>
        <w:t>4</w:t>
      </w:r>
      <w:r>
        <w:rPr>
          <w:rFonts w:hint="default" w:ascii="Times New Roman" w:hAnsi="Times New Roman" w:eastAsia="仿宋_GB2312" w:cs="Times New Roman"/>
          <w:b w:val="0"/>
          <w:bCs/>
          <w:kern w:val="2"/>
          <w:sz w:val="32"/>
          <w:szCs w:val="24"/>
          <w:lang w:val="en-US" w:eastAsia="zh-CN"/>
        </w:rPr>
        <w:t>年ITEC朝阳国际人才创业大会奖励扶持经费2637万元，全部为财政资金。</w:t>
      </w:r>
    </w:p>
    <w:p w14:paraId="7D84732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实际使用资金为</w:t>
      </w:r>
      <w:r>
        <w:rPr>
          <w:rFonts w:hint="eastAsia" w:ascii="Times New Roman" w:hAnsi="Times New Roman" w:eastAsia="仿宋_GB2312" w:cs="Times New Roman"/>
          <w:b w:val="0"/>
          <w:bCs/>
          <w:kern w:val="2"/>
          <w:sz w:val="32"/>
          <w:szCs w:val="24"/>
          <w:lang w:val="en-US" w:eastAsia="zh-CN"/>
        </w:rPr>
        <w:t>1400</w:t>
      </w:r>
      <w:r>
        <w:rPr>
          <w:rFonts w:hint="default" w:ascii="Times New Roman" w:hAnsi="Times New Roman" w:eastAsia="仿宋_GB2312" w:cs="Times New Roman"/>
          <w:b w:val="0"/>
          <w:bCs/>
          <w:kern w:val="2"/>
          <w:sz w:val="32"/>
          <w:szCs w:val="24"/>
          <w:lang w:val="en-US" w:eastAsia="zh-CN"/>
        </w:rPr>
        <w:t>万元，资金全部用于ITEC获奖项目的奖励扶持，因机构</w:t>
      </w:r>
      <w:r>
        <w:rPr>
          <w:rFonts w:hint="eastAsia" w:ascii="Times New Roman" w:hAnsi="Times New Roman" w:eastAsia="仿宋_GB2312" w:cs="Times New Roman"/>
          <w:b w:val="0"/>
          <w:bCs/>
          <w:kern w:val="2"/>
          <w:sz w:val="32"/>
          <w:szCs w:val="24"/>
          <w:lang w:val="en-US" w:eastAsia="zh-CN"/>
        </w:rPr>
        <w:t>调整</w:t>
      </w:r>
      <w:r>
        <w:rPr>
          <w:rFonts w:hint="default" w:ascii="Times New Roman" w:hAnsi="Times New Roman" w:eastAsia="仿宋_GB2312" w:cs="Times New Roman"/>
          <w:b w:val="0"/>
          <w:bCs/>
          <w:kern w:val="2"/>
          <w:sz w:val="32"/>
          <w:szCs w:val="24"/>
          <w:lang w:val="en-US" w:eastAsia="zh-CN"/>
        </w:rPr>
        <w:t>，剩余</w:t>
      </w:r>
      <w:r>
        <w:rPr>
          <w:rFonts w:hint="eastAsia" w:ascii="Times New Roman" w:hAnsi="Times New Roman" w:eastAsia="仿宋_GB2312" w:cs="Times New Roman"/>
          <w:b w:val="0"/>
          <w:bCs/>
          <w:kern w:val="2"/>
          <w:sz w:val="32"/>
          <w:szCs w:val="24"/>
          <w:lang w:val="en-US" w:eastAsia="zh-CN"/>
        </w:rPr>
        <w:t>资金1237万元于2024年7月</w:t>
      </w:r>
      <w:r>
        <w:rPr>
          <w:rFonts w:hint="default" w:ascii="Times New Roman" w:hAnsi="Times New Roman" w:eastAsia="仿宋_GB2312" w:cs="Times New Roman"/>
          <w:b w:val="0"/>
          <w:bCs/>
          <w:kern w:val="2"/>
          <w:sz w:val="32"/>
          <w:szCs w:val="24"/>
          <w:lang w:val="en-US" w:eastAsia="zh-CN"/>
        </w:rPr>
        <w:t>结转至朝阳区人才工作局。</w:t>
      </w:r>
    </w:p>
    <w:p w14:paraId="6353C9E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ascii="楷体_GB2312" w:hAnsi="楷体_GB2312" w:eastAsia="楷体_GB2312" w:cs="楷体_GB2312"/>
          <w:b/>
          <w:bCs w:val="0"/>
          <w:kern w:val="2"/>
          <w:sz w:val="32"/>
          <w:szCs w:val="24"/>
          <w:lang w:val="en-US" w:eastAsia="zh-CN"/>
        </w:rPr>
      </w:pPr>
      <w:r>
        <w:rPr>
          <w:rFonts w:hint="eastAsia" w:ascii="楷体_GB2312" w:hAnsi="楷体_GB2312" w:eastAsia="楷体_GB2312" w:cs="楷体_GB2312"/>
          <w:b/>
          <w:bCs w:val="0"/>
          <w:kern w:val="2"/>
          <w:sz w:val="32"/>
          <w:szCs w:val="24"/>
          <w:lang w:val="en-US" w:eastAsia="zh-CN"/>
        </w:rPr>
        <w:t>（二）绩效目标</w:t>
      </w:r>
    </w:p>
    <w:p w14:paraId="548BDBB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1</w:t>
      </w:r>
      <w:r>
        <w:rPr>
          <w:rFonts w:hint="eastAsia" w:ascii="Times New Roman" w:hAnsi="Times New Roman" w:eastAsia="仿宋_GB2312" w:cs="Times New Roman"/>
          <w:b w:val="0"/>
          <w:bCs/>
          <w:kern w:val="2"/>
          <w:sz w:val="32"/>
          <w:szCs w:val="24"/>
          <w:lang w:val="en-US" w:eastAsia="zh-CN"/>
        </w:rPr>
        <w:t>.</w:t>
      </w:r>
      <w:r>
        <w:rPr>
          <w:rFonts w:hint="default" w:ascii="Times New Roman" w:hAnsi="Times New Roman" w:eastAsia="仿宋_GB2312" w:cs="Times New Roman"/>
          <w:b w:val="0"/>
          <w:bCs/>
          <w:kern w:val="2"/>
          <w:sz w:val="32"/>
          <w:szCs w:val="24"/>
          <w:lang w:val="en-US" w:eastAsia="zh-CN"/>
        </w:rPr>
        <w:t>产出数量指标：奖励扶持申报人数≥20人。</w:t>
      </w:r>
    </w:p>
    <w:p w14:paraId="69C9631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2</w:t>
      </w:r>
      <w:r>
        <w:rPr>
          <w:rFonts w:hint="eastAsia" w:ascii="Times New Roman" w:hAnsi="Times New Roman" w:eastAsia="仿宋_GB2312" w:cs="Times New Roman"/>
          <w:b w:val="0"/>
          <w:bCs/>
          <w:kern w:val="2"/>
          <w:sz w:val="32"/>
          <w:szCs w:val="24"/>
          <w:lang w:val="en-US" w:eastAsia="zh-CN"/>
        </w:rPr>
        <w:t>.</w:t>
      </w:r>
      <w:r>
        <w:rPr>
          <w:rFonts w:hint="default" w:ascii="Times New Roman" w:hAnsi="Times New Roman" w:eastAsia="仿宋_GB2312" w:cs="Times New Roman"/>
          <w:b w:val="0"/>
          <w:bCs/>
          <w:kern w:val="2"/>
          <w:sz w:val="32"/>
          <w:szCs w:val="24"/>
          <w:lang w:val="en-US" w:eastAsia="zh-CN"/>
        </w:rPr>
        <w:t>产出质量指标：申报审核通过率≥80%。</w:t>
      </w:r>
    </w:p>
    <w:p w14:paraId="394A6E2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3</w:t>
      </w:r>
      <w:r>
        <w:rPr>
          <w:rFonts w:hint="eastAsia" w:ascii="Times New Roman" w:hAnsi="Times New Roman" w:eastAsia="仿宋_GB2312" w:cs="Times New Roman"/>
          <w:b w:val="0"/>
          <w:bCs/>
          <w:kern w:val="2"/>
          <w:sz w:val="32"/>
          <w:szCs w:val="24"/>
          <w:lang w:val="en-US" w:eastAsia="zh-CN"/>
        </w:rPr>
        <w:t>.</w:t>
      </w:r>
      <w:r>
        <w:rPr>
          <w:rFonts w:hint="default" w:ascii="Times New Roman" w:hAnsi="Times New Roman" w:eastAsia="仿宋_GB2312" w:cs="Times New Roman"/>
          <w:b w:val="0"/>
          <w:bCs/>
          <w:kern w:val="2"/>
          <w:sz w:val="32"/>
          <w:szCs w:val="24"/>
          <w:lang w:val="en-US" w:eastAsia="zh-CN"/>
        </w:rPr>
        <w:t>产出时效指标：第二季度支出70%，第四季度支出全部。</w:t>
      </w:r>
    </w:p>
    <w:p w14:paraId="4C1C8C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4</w:t>
      </w:r>
      <w:r>
        <w:rPr>
          <w:rFonts w:hint="eastAsia" w:ascii="Times New Roman" w:hAnsi="Times New Roman" w:eastAsia="仿宋_GB2312" w:cs="Times New Roman"/>
          <w:b w:val="0"/>
          <w:bCs/>
          <w:kern w:val="2"/>
          <w:sz w:val="32"/>
          <w:szCs w:val="24"/>
          <w:lang w:val="en-US" w:eastAsia="zh-CN"/>
        </w:rPr>
        <w:t>.</w:t>
      </w:r>
      <w:r>
        <w:rPr>
          <w:rFonts w:hint="default" w:ascii="Times New Roman" w:hAnsi="Times New Roman" w:eastAsia="仿宋_GB2312" w:cs="Times New Roman"/>
          <w:b w:val="0"/>
          <w:bCs/>
          <w:kern w:val="2"/>
          <w:sz w:val="32"/>
          <w:szCs w:val="24"/>
          <w:lang w:val="en-US" w:eastAsia="zh-CN"/>
        </w:rPr>
        <w:t>社会成本指标：企业资信调查成本≤10万元。</w:t>
      </w:r>
    </w:p>
    <w:p w14:paraId="17E3203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5</w:t>
      </w:r>
      <w:r>
        <w:rPr>
          <w:rFonts w:hint="eastAsia" w:ascii="Times New Roman" w:hAnsi="Times New Roman" w:eastAsia="仿宋_GB2312" w:cs="Times New Roman"/>
          <w:b w:val="0"/>
          <w:bCs/>
          <w:kern w:val="2"/>
          <w:sz w:val="32"/>
          <w:szCs w:val="24"/>
          <w:lang w:val="en-US" w:eastAsia="zh-CN"/>
        </w:rPr>
        <w:t>.</w:t>
      </w:r>
      <w:r>
        <w:rPr>
          <w:rFonts w:hint="default" w:ascii="Times New Roman" w:hAnsi="Times New Roman" w:eastAsia="仿宋_GB2312" w:cs="Times New Roman"/>
          <w:b w:val="0"/>
          <w:bCs/>
          <w:kern w:val="2"/>
          <w:sz w:val="32"/>
          <w:szCs w:val="24"/>
          <w:lang w:val="en-US" w:eastAsia="zh-CN"/>
        </w:rPr>
        <w:t>社会效益指标：对国际人才来朝阳创新创业工作产生重大积极影响定性优良中差。</w:t>
      </w:r>
    </w:p>
    <w:p w14:paraId="689F661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6</w:t>
      </w:r>
      <w:r>
        <w:rPr>
          <w:rFonts w:hint="eastAsia" w:ascii="Times New Roman" w:hAnsi="Times New Roman" w:eastAsia="仿宋_GB2312" w:cs="Times New Roman"/>
          <w:b w:val="0"/>
          <w:bCs/>
          <w:kern w:val="2"/>
          <w:sz w:val="32"/>
          <w:szCs w:val="24"/>
          <w:lang w:val="en-US" w:eastAsia="zh-CN"/>
        </w:rPr>
        <w:t>.</w:t>
      </w:r>
      <w:r>
        <w:rPr>
          <w:rFonts w:hint="default" w:ascii="Times New Roman" w:hAnsi="Times New Roman" w:eastAsia="仿宋_GB2312" w:cs="Times New Roman"/>
          <w:b w:val="0"/>
          <w:bCs/>
          <w:kern w:val="2"/>
          <w:sz w:val="32"/>
          <w:szCs w:val="24"/>
          <w:lang w:val="en-US" w:eastAsia="zh-CN"/>
        </w:rPr>
        <w:t>服务对象满意度指标：申报人对申报结果认可、吸引来朝阳工作的人才对政策对接满意度定性高中低。</w:t>
      </w:r>
    </w:p>
    <w:p w14:paraId="7A4B259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黑体" w:cs="Times New Roman"/>
          <w:b w:val="0"/>
          <w:bCs/>
          <w:kern w:val="2"/>
          <w:sz w:val="32"/>
          <w:szCs w:val="24"/>
          <w:lang w:val="en-US" w:eastAsia="zh-CN"/>
        </w:rPr>
      </w:pPr>
      <w:r>
        <w:rPr>
          <w:rFonts w:hint="default" w:ascii="Times New Roman" w:hAnsi="Times New Roman" w:eastAsia="黑体" w:cs="Times New Roman"/>
          <w:b w:val="0"/>
          <w:bCs/>
          <w:kern w:val="2"/>
          <w:sz w:val="32"/>
          <w:szCs w:val="24"/>
          <w:lang w:val="en-US" w:eastAsia="zh-CN"/>
        </w:rPr>
        <w:t>二、绩效评价工作开展情况</w:t>
      </w:r>
    </w:p>
    <w:p w14:paraId="53EC096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ascii="楷体_GB2312" w:hAnsi="楷体_GB2312" w:eastAsia="楷体_GB2312" w:cs="楷体_GB2312"/>
          <w:b/>
          <w:bCs w:val="0"/>
          <w:kern w:val="2"/>
          <w:sz w:val="32"/>
          <w:szCs w:val="24"/>
          <w:lang w:val="en-US" w:eastAsia="zh-CN"/>
        </w:rPr>
      </w:pPr>
      <w:r>
        <w:rPr>
          <w:rFonts w:hint="eastAsia" w:ascii="楷体_GB2312" w:hAnsi="楷体_GB2312" w:eastAsia="楷体_GB2312" w:cs="楷体_GB2312"/>
          <w:b/>
          <w:bCs w:val="0"/>
          <w:kern w:val="2"/>
          <w:sz w:val="32"/>
          <w:szCs w:val="24"/>
          <w:lang w:val="en-US" w:eastAsia="zh-CN"/>
        </w:rPr>
        <w:t>（一）绩效评价目的、对象和范围</w:t>
      </w:r>
    </w:p>
    <w:p w14:paraId="04190E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通过绩效评价，衡量和考核中心“ITEC朝阳国际人才创业大会奖励扶持”预算资金的使用效益，了解、分析、检验资金使用是否达到预期目标，资金管理是否规范，资金使用是否有效。通过总结经验、分析问题，采取切实措施进一步改进和加强财政支出管理，提高财政资金使用效益。</w:t>
      </w:r>
    </w:p>
    <w:p w14:paraId="7F15C1F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ascii="楷体_GB2312" w:hAnsi="楷体_GB2312" w:eastAsia="楷体_GB2312" w:cs="楷体_GB2312"/>
          <w:b/>
          <w:bCs w:val="0"/>
          <w:kern w:val="2"/>
          <w:sz w:val="32"/>
          <w:szCs w:val="24"/>
          <w:lang w:val="en-US" w:eastAsia="zh-CN"/>
        </w:rPr>
      </w:pPr>
      <w:r>
        <w:rPr>
          <w:rFonts w:hint="eastAsia" w:ascii="楷体_GB2312" w:hAnsi="楷体_GB2312" w:eastAsia="楷体_GB2312" w:cs="楷体_GB2312"/>
          <w:b/>
          <w:bCs w:val="0"/>
          <w:kern w:val="2"/>
          <w:sz w:val="32"/>
          <w:szCs w:val="24"/>
          <w:lang w:val="en-US" w:eastAsia="zh-CN"/>
        </w:rPr>
        <w:t>（二）绩效评价原则、评价指标体系、评价方法、评价标准等</w:t>
      </w:r>
    </w:p>
    <w:p w14:paraId="258E28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 xml:space="preserve">1.评价基本原则 </w:t>
      </w:r>
    </w:p>
    <w:p w14:paraId="07F7C7F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本次绩效评价工作遵循科学规范、公正公开、分级分类和绩效相关原则。</w:t>
      </w:r>
    </w:p>
    <w:p w14:paraId="5EA3F27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2.评价方法</w:t>
      </w:r>
    </w:p>
    <w:p w14:paraId="4F902B4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（1）本次绩效评价工作采取中心相关人员集体讨论相结合的评价方式进行。</w:t>
      </w:r>
    </w:p>
    <w:p w14:paraId="62376E8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（2）本次绩效评价工作采用对比目标与绩效的方法进行评价。</w:t>
      </w:r>
    </w:p>
    <w:p w14:paraId="30617A1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（3）采用比较法</w:t>
      </w:r>
      <w:r>
        <w:rPr>
          <w:rFonts w:hint="eastAsia" w:ascii="Times New Roman" w:hAnsi="Times New Roman" w:eastAsia="仿宋_GB2312" w:cs="Times New Roman"/>
          <w:b w:val="0"/>
          <w:bCs/>
          <w:kern w:val="2"/>
          <w:sz w:val="32"/>
          <w:szCs w:val="24"/>
          <w:lang w:val="en-US" w:eastAsia="zh-CN"/>
        </w:rPr>
        <w:t>，</w:t>
      </w:r>
      <w:r>
        <w:rPr>
          <w:rFonts w:hint="default" w:ascii="Times New Roman" w:hAnsi="Times New Roman" w:eastAsia="仿宋_GB2312" w:cs="Times New Roman"/>
          <w:b w:val="0"/>
          <w:bCs/>
          <w:kern w:val="2"/>
          <w:sz w:val="32"/>
          <w:szCs w:val="24"/>
          <w:lang w:val="en-US" w:eastAsia="zh-CN"/>
        </w:rPr>
        <w:t>通过对项目执行的经济性、效率性、效益性的比较和分析，考核支出效率和支出效果。</w:t>
      </w:r>
    </w:p>
    <w:p w14:paraId="13D91C0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 xml:space="preserve">3.评价指标体系 </w:t>
      </w:r>
    </w:p>
    <w:p w14:paraId="555D3DA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评价工作组结合项目的特点，按照《北京市项目支出绩效评价管理办法》（京财绩效〔2020〕2146号）文件规定的评价方法，采用了比较法，依据项目资料，在参照“项目支出绩效评价指标体系框架”的基础上，制订了该项目绩效评价指标体系（详见附件）。</w:t>
      </w:r>
    </w:p>
    <w:p w14:paraId="02E3BF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4.评价标准</w:t>
      </w:r>
    </w:p>
    <w:p w14:paraId="7CCF054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本次评价标准的制定采取了计划标准和历史标准等方式，用于对绩效指标完成情况进行比较。</w:t>
      </w:r>
    </w:p>
    <w:p w14:paraId="141B619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ascii="楷体_GB2312" w:hAnsi="楷体_GB2312" w:eastAsia="楷体_GB2312" w:cs="楷体_GB2312"/>
          <w:b/>
          <w:bCs w:val="0"/>
          <w:kern w:val="2"/>
          <w:sz w:val="32"/>
          <w:szCs w:val="24"/>
          <w:lang w:val="en-US" w:eastAsia="zh-CN"/>
        </w:rPr>
      </w:pPr>
      <w:r>
        <w:rPr>
          <w:rFonts w:hint="eastAsia" w:ascii="楷体_GB2312" w:hAnsi="楷体_GB2312" w:eastAsia="楷体_GB2312" w:cs="楷体_GB2312"/>
          <w:b/>
          <w:bCs w:val="0"/>
          <w:kern w:val="2"/>
          <w:sz w:val="32"/>
          <w:szCs w:val="24"/>
          <w:lang w:val="en-US" w:eastAsia="zh-CN"/>
        </w:rPr>
        <w:t>（三）绩效评价工作过程</w:t>
      </w:r>
    </w:p>
    <w:p w14:paraId="794A579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根据《北京市项目支出绩效评价管理办法》（京财绩效〔2020〕2146号）等文件规定，项目绩效评价工作组对该项目进行绩效评价。</w:t>
      </w:r>
    </w:p>
    <w:p w14:paraId="47265E0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1.评价工作组根据项目基本情况，结合评价资料，形成评价指标体系。</w:t>
      </w:r>
    </w:p>
    <w:p w14:paraId="41F5FF8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kern w:val="2"/>
          <w:sz w:val="32"/>
          <w:szCs w:val="24"/>
          <w:lang w:val="en-US" w:eastAsia="zh-CN"/>
        </w:rPr>
      </w:pPr>
      <w:r>
        <w:rPr>
          <w:rFonts w:hint="default" w:ascii="Times New Roman" w:hAnsi="Times New Roman" w:eastAsia="仿宋_GB2312" w:cs="Times New Roman"/>
          <w:b w:val="0"/>
          <w:bCs/>
          <w:kern w:val="2"/>
          <w:sz w:val="32"/>
          <w:szCs w:val="24"/>
          <w:lang w:val="en-US" w:eastAsia="zh-CN"/>
        </w:rPr>
        <w:t xml:space="preserve">2.评价工作组根据项目情况依据客观、公正的原则，对项目资料进行自评价。 </w:t>
      </w:r>
    </w:p>
    <w:p w14:paraId="0EAB8EE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黑体" w:cs="Times New Roman"/>
          <w:b w:val="0"/>
          <w:bCs/>
          <w:kern w:val="2"/>
          <w:sz w:val="32"/>
          <w:szCs w:val="24"/>
          <w:lang w:val="en-US" w:eastAsia="zh-CN"/>
        </w:rPr>
      </w:pPr>
      <w:r>
        <w:rPr>
          <w:rFonts w:hint="default" w:ascii="Times New Roman" w:hAnsi="Times New Roman" w:eastAsia="黑体" w:cs="Times New Roman"/>
          <w:b w:val="0"/>
          <w:bCs/>
          <w:kern w:val="2"/>
          <w:sz w:val="32"/>
          <w:szCs w:val="24"/>
          <w:lang w:val="en-US" w:eastAsia="zh-CN"/>
        </w:rPr>
        <w:t>三、综合评价情况及评价结论</w:t>
      </w:r>
    </w:p>
    <w:p w14:paraId="6D8B417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bookmarkStart w:id="0" w:name="_Toc63264554"/>
      <w:bookmarkStart w:id="1" w:name="_Toc63263747"/>
      <w:r>
        <w:rPr>
          <w:rFonts w:hint="default" w:ascii="Times New Roman" w:hAnsi="Times New Roman" w:eastAsia="仿宋_GB2312" w:cs="Times New Roman"/>
          <w:b w:val="0"/>
          <w:bCs/>
          <w:sz w:val="32"/>
          <w:szCs w:val="32"/>
        </w:rPr>
        <w:t>该项目整体决策过程规范，立项较明确；项目管理制度和组织机构健全。</w:t>
      </w:r>
    </w:p>
    <w:p w14:paraId="419A97B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综上所述，该项目绩效评价综合得分</w:t>
      </w:r>
      <w:r>
        <w:rPr>
          <w:rFonts w:hint="default" w:ascii="Times New Roman" w:hAnsi="Times New Roman" w:eastAsia="仿宋_GB2312" w:cs="Times New Roman"/>
          <w:b w:val="0"/>
          <w:bCs/>
          <w:sz w:val="32"/>
          <w:szCs w:val="32"/>
          <w:lang w:val="en-US" w:eastAsia="zh-CN"/>
        </w:rPr>
        <w:t>9</w:t>
      </w:r>
      <w:r>
        <w:rPr>
          <w:rFonts w:hint="eastAsia" w:ascii="Times New Roman" w:hAnsi="Times New Roman" w:eastAsia="仿宋_GB2312" w:cs="Times New Roman"/>
          <w:b w:val="0"/>
          <w:bCs/>
          <w:sz w:val="32"/>
          <w:szCs w:val="32"/>
          <w:lang w:val="en-US" w:eastAsia="zh-CN"/>
        </w:rPr>
        <w:t>8</w:t>
      </w:r>
      <w:r>
        <w:rPr>
          <w:rFonts w:hint="default" w:ascii="Times New Roman" w:hAnsi="Times New Roman" w:eastAsia="仿宋_GB2312" w:cs="Times New Roman"/>
          <w:b w:val="0"/>
          <w:bCs/>
          <w:sz w:val="32"/>
          <w:szCs w:val="32"/>
        </w:rPr>
        <w:t>分，绩效评定级别为“</w:t>
      </w:r>
      <w:r>
        <w:rPr>
          <w:rFonts w:hint="default" w:ascii="Times New Roman" w:hAnsi="Times New Roman" w:eastAsia="仿宋_GB2312" w:cs="Times New Roman"/>
          <w:b w:val="0"/>
          <w:bCs/>
          <w:sz w:val="32"/>
          <w:szCs w:val="32"/>
          <w:lang w:val="en-US" w:eastAsia="zh-CN"/>
        </w:rPr>
        <w:t>优</w:t>
      </w:r>
      <w:r>
        <w:rPr>
          <w:rFonts w:hint="default" w:ascii="Times New Roman" w:hAnsi="Times New Roman" w:eastAsia="仿宋_GB2312" w:cs="Times New Roman"/>
          <w:b w:val="0"/>
          <w:bCs/>
          <w:sz w:val="32"/>
          <w:szCs w:val="32"/>
        </w:rPr>
        <w:t>”，其中项目决策得分</w:t>
      </w:r>
      <w:r>
        <w:rPr>
          <w:rFonts w:hint="default" w:ascii="Times New Roman" w:hAnsi="Times New Roman" w:eastAsia="仿宋_GB2312" w:cs="Times New Roman"/>
          <w:b w:val="0"/>
          <w:bCs/>
          <w:sz w:val="32"/>
          <w:szCs w:val="32"/>
          <w:lang w:val="en-US" w:eastAsia="zh-CN"/>
        </w:rPr>
        <w:t>15</w:t>
      </w:r>
      <w:r>
        <w:rPr>
          <w:rFonts w:hint="default" w:ascii="Times New Roman" w:hAnsi="Times New Roman" w:eastAsia="仿宋_GB2312" w:cs="Times New Roman"/>
          <w:b w:val="0"/>
          <w:bCs/>
          <w:sz w:val="32"/>
          <w:szCs w:val="32"/>
        </w:rPr>
        <w:t>分，项目过程得分</w:t>
      </w:r>
      <w:r>
        <w:rPr>
          <w:rFonts w:hint="default" w:ascii="Times New Roman" w:hAnsi="Times New Roman" w:eastAsia="仿宋_GB2312" w:cs="Times New Roman"/>
          <w:b w:val="0"/>
          <w:bCs/>
          <w:sz w:val="32"/>
          <w:szCs w:val="32"/>
          <w:lang w:val="en-US" w:eastAsia="zh-CN"/>
        </w:rPr>
        <w:t>2</w:t>
      </w:r>
      <w:r>
        <w:rPr>
          <w:rFonts w:hint="eastAsia" w:ascii="Times New Roman" w:hAnsi="Times New Roman" w:eastAsia="仿宋_GB2312" w:cs="Times New Roman"/>
          <w:b w:val="0"/>
          <w:bCs/>
          <w:sz w:val="32"/>
          <w:szCs w:val="32"/>
          <w:lang w:val="en-US" w:eastAsia="zh-CN"/>
        </w:rPr>
        <w:t>5</w:t>
      </w:r>
      <w:r>
        <w:rPr>
          <w:rFonts w:hint="default" w:ascii="Times New Roman" w:hAnsi="Times New Roman" w:eastAsia="仿宋_GB2312" w:cs="Times New Roman"/>
          <w:b w:val="0"/>
          <w:bCs/>
          <w:sz w:val="32"/>
          <w:szCs w:val="32"/>
        </w:rPr>
        <w:t>分，项目产出平均得分</w:t>
      </w:r>
      <w:r>
        <w:rPr>
          <w:rFonts w:hint="eastAsia" w:ascii="Times New Roman" w:hAnsi="Times New Roman" w:eastAsia="仿宋_GB2312" w:cs="Times New Roman"/>
          <w:b w:val="0"/>
          <w:bCs/>
          <w:sz w:val="32"/>
          <w:szCs w:val="32"/>
          <w:lang w:val="en-US" w:eastAsia="zh-CN"/>
        </w:rPr>
        <w:t>28</w:t>
      </w:r>
      <w:r>
        <w:rPr>
          <w:rFonts w:hint="default" w:ascii="Times New Roman" w:hAnsi="Times New Roman" w:eastAsia="仿宋_GB2312" w:cs="Times New Roman"/>
          <w:b w:val="0"/>
          <w:bCs/>
          <w:sz w:val="32"/>
          <w:szCs w:val="32"/>
        </w:rPr>
        <w:t>分，项目效益平均得分</w:t>
      </w:r>
      <w:r>
        <w:rPr>
          <w:rFonts w:hint="default" w:ascii="Times New Roman" w:hAnsi="Times New Roman" w:eastAsia="仿宋_GB2312" w:cs="Times New Roman"/>
          <w:b w:val="0"/>
          <w:bCs/>
          <w:sz w:val="32"/>
          <w:szCs w:val="32"/>
          <w:lang w:val="en-US" w:eastAsia="zh-CN"/>
        </w:rPr>
        <w:t>30</w:t>
      </w:r>
      <w:r>
        <w:rPr>
          <w:rFonts w:hint="default" w:ascii="Times New Roman" w:hAnsi="Times New Roman" w:eastAsia="仿宋_GB2312" w:cs="Times New Roman"/>
          <w:b w:val="0"/>
          <w:bCs/>
          <w:sz w:val="32"/>
          <w:szCs w:val="32"/>
        </w:rPr>
        <w:t>分，具体情况详见下表。</w:t>
      </w:r>
      <w:bookmarkEnd w:id="0"/>
      <w:bookmarkEnd w:id="1"/>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6"/>
        <w:gridCol w:w="2160"/>
        <w:gridCol w:w="2416"/>
      </w:tblGrid>
      <w:tr w14:paraId="4F07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946" w:type="dxa"/>
            <w:vAlign w:val="center"/>
          </w:tcPr>
          <w:p w14:paraId="312219E9">
            <w:pPr>
              <w:keepNext w:val="0"/>
              <w:keepLines w:val="0"/>
              <w:pageBreakBefore w:val="0"/>
              <w:kinsoku/>
              <w:wordWrap/>
              <w:overflowPunct/>
              <w:topLinePunct w:val="0"/>
              <w:autoSpaceDE/>
              <w:autoSpaceDN/>
              <w:bidi w:val="0"/>
              <w:adjustRightInd/>
              <w:snapToGrid/>
              <w:spacing w:line="560" w:lineRule="exact"/>
              <w:ind w:left="0" w:leftChars="0" w:right="0" w:rightChars="0" w:firstLine="640"/>
              <w:jc w:val="center"/>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评价内容</w:t>
            </w:r>
          </w:p>
        </w:tc>
        <w:tc>
          <w:tcPr>
            <w:tcW w:w="2160" w:type="dxa"/>
            <w:vAlign w:val="center"/>
          </w:tcPr>
          <w:p w14:paraId="3775C0BC">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满分值</w:t>
            </w:r>
          </w:p>
        </w:tc>
        <w:tc>
          <w:tcPr>
            <w:tcW w:w="2416" w:type="dxa"/>
            <w:vAlign w:val="center"/>
          </w:tcPr>
          <w:p w14:paraId="5831F3B2">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考评得分</w:t>
            </w:r>
          </w:p>
        </w:tc>
      </w:tr>
      <w:tr w14:paraId="43147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6" w:type="dxa"/>
            <w:vAlign w:val="center"/>
          </w:tcPr>
          <w:p w14:paraId="6863AC11">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项目决策评价</w:t>
            </w:r>
          </w:p>
        </w:tc>
        <w:tc>
          <w:tcPr>
            <w:tcW w:w="2160" w:type="dxa"/>
            <w:vAlign w:val="center"/>
          </w:tcPr>
          <w:p w14:paraId="27191847">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15</w:t>
            </w:r>
          </w:p>
        </w:tc>
        <w:tc>
          <w:tcPr>
            <w:tcW w:w="2416" w:type="dxa"/>
            <w:vAlign w:val="center"/>
          </w:tcPr>
          <w:p w14:paraId="65F5F77E">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15</w:t>
            </w:r>
          </w:p>
        </w:tc>
      </w:tr>
      <w:tr w14:paraId="4A1C3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6" w:type="dxa"/>
            <w:vAlign w:val="center"/>
          </w:tcPr>
          <w:p w14:paraId="39DEA51B">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项目过程评价</w:t>
            </w:r>
          </w:p>
        </w:tc>
        <w:tc>
          <w:tcPr>
            <w:tcW w:w="2160" w:type="dxa"/>
            <w:vAlign w:val="center"/>
          </w:tcPr>
          <w:p w14:paraId="50D08901">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25</w:t>
            </w:r>
          </w:p>
        </w:tc>
        <w:tc>
          <w:tcPr>
            <w:tcW w:w="2416" w:type="dxa"/>
            <w:vAlign w:val="center"/>
          </w:tcPr>
          <w:p w14:paraId="4B92CF12">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2</w:t>
            </w:r>
            <w:r>
              <w:rPr>
                <w:rFonts w:hint="eastAsia" w:ascii="Times New Roman" w:hAnsi="Times New Roman" w:eastAsia="仿宋_GB2312" w:cs="Times New Roman"/>
                <w:b w:val="0"/>
                <w:bCs/>
                <w:sz w:val="32"/>
                <w:szCs w:val="32"/>
                <w:lang w:val="en-US" w:eastAsia="zh-CN"/>
              </w:rPr>
              <w:t>5</w:t>
            </w:r>
          </w:p>
        </w:tc>
      </w:tr>
      <w:tr w14:paraId="1112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6" w:type="dxa"/>
            <w:vAlign w:val="center"/>
          </w:tcPr>
          <w:p w14:paraId="535C82D7">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项目产出评价</w:t>
            </w:r>
          </w:p>
        </w:tc>
        <w:tc>
          <w:tcPr>
            <w:tcW w:w="2160" w:type="dxa"/>
            <w:vAlign w:val="center"/>
          </w:tcPr>
          <w:p w14:paraId="3A6A5F98">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30</w:t>
            </w:r>
          </w:p>
        </w:tc>
        <w:tc>
          <w:tcPr>
            <w:tcW w:w="2416" w:type="dxa"/>
            <w:vAlign w:val="center"/>
          </w:tcPr>
          <w:p w14:paraId="45454224">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28</w:t>
            </w:r>
          </w:p>
        </w:tc>
      </w:tr>
      <w:tr w14:paraId="5ADC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6" w:type="dxa"/>
            <w:vAlign w:val="center"/>
          </w:tcPr>
          <w:p w14:paraId="4996D95C">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项目效益评价</w:t>
            </w:r>
          </w:p>
        </w:tc>
        <w:tc>
          <w:tcPr>
            <w:tcW w:w="2160" w:type="dxa"/>
            <w:vAlign w:val="center"/>
          </w:tcPr>
          <w:p w14:paraId="157B0353">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30</w:t>
            </w:r>
          </w:p>
        </w:tc>
        <w:tc>
          <w:tcPr>
            <w:tcW w:w="2416" w:type="dxa"/>
            <w:vAlign w:val="center"/>
          </w:tcPr>
          <w:p w14:paraId="435099D8">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30</w:t>
            </w:r>
          </w:p>
        </w:tc>
      </w:tr>
      <w:tr w14:paraId="5A92C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6" w:type="dxa"/>
            <w:vAlign w:val="center"/>
          </w:tcPr>
          <w:p w14:paraId="4B1920FD">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综合评价</w:t>
            </w:r>
          </w:p>
        </w:tc>
        <w:tc>
          <w:tcPr>
            <w:tcW w:w="2160" w:type="dxa"/>
            <w:vAlign w:val="center"/>
          </w:tcPr>
          <w:p w14:paraId="3E025BFD">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rPr>
              <w:t>10</w:t>
            </w:r>
            <w:r>
              <w:rPr>
                <w:rFonts w:hint="default" w:ascii="Times New Roman" w:hAnsi="Times New Roman" w:eastAsia="仿宋_GB2312" w:cs="Times New Roman"/>
                <w:b w:val="0"/>
                <w:bCs/>
                <w:sz w:val="32"/>
                <w:szCs w:val="32"/>
                <w:lang w:val="en-US" w:eastAsia="zh-CN"/>
              </w:rPr>
              <w:t>0</w:t>
            </w:r>
          </w:p>
        </w:tc>
        <w:tc>
          <w:tcPr>
            <w:tcW w:w="2416" w:type="dxa"/>
            <w:vAlign w:val="center"/>
          </w:tcPr>
          <w:p w14:paraId="7284D140">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lang w:val="en-US" w:eastAsia="zh-CN"/>
              </w:rPr>
              <w:t>9</w:t>
            </w:r>
            <w:r>
              <w:rPr>
                <w:rFonts w:hint="eastAsia" w:ascii="Times New Roman" w:hAnsi="Times New Roman" w:eastAsia="仿宋_GB2312" w:cs="Times New Roman"/>
                <w:b w:val="0"/>
                <w:bCs/>
                <w:sz w:val="32"/>
                <w:szCs w:val="32"/>
                <w:lang w:val="en-US" w:eastAsia="zh-CN"/>
              </w:rPr>
              <w:t>8</w:t>
            </w:r>
          </w:p>
        </w:tc>
      </w:tr>
      <w:tr w14:paraId="2D0C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6" w:type="dxa"/>
            <w:vAlign w:val="center"/>
          </w:tcPr>
          <w:p w14:paraId="56E7564F">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left"/>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评价等级</w:t>
            </w:r>
          </w:p>
        </w:tc>
        <w:tc>
          <w:tcPr>
            <w:tcW w:w="4576" w:type="dxa"/>
            <w:gridSpan w:val="2"/>
            <w:vAlign w:val="center"/>
          </w:tcPr>
          <w:p w14:paraId="0ED3B9C1">
            <w:pPr>
              <w:keepNext w:val="0"/>
              <w:keepLines w:val="0"/>
              <w:pageBreakBefore w:val="0"/>
              <w:kinsoku/>
              <w:wordWrap/>
              <w:overflowPunct/>
              <w:topLinePunct w:val="0"/>
              <w:autoSpaceDE/>
              <w:autoSpaceDN/>
              <w:bidi w:val="0"/>
              <w:adjustRightInd/>
              <w:snapToGrid/>
              <w:spacing w:line="560" w:lineRule="exact"/>
              <w:ind w:left="0" w:leftChars="0" w:right="0" w:rightChars="0" w:firstLine="640"/>
              <w:jc w:val="center"/>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优√ 良□中□ 差□</w:t>
            </w:r>
          </w:p>
        </w:tc>
      </w:tr>
    </w:tbl>
    <w:p w14:paraId="123EECCF">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rPr>
          <w:rFonts w:hint="default" w:ascii="Times New Roman" w:hAnsi="Times New Roman" w:eastAsia="黑体" w:cs="Times New Roman"/>
          <w:b w:val="0"/>
          <w:bCs/>
          <w:kern w:val="2"/>
          <w:sz w:val="32"/>
          <w:szCs w:val="24"/>
          <w:lang w:val="en-US" w:eastAsia="zh-CN"/>
        </w:rPr>
      </w:pPr>
    </w:p>
    <w:p w14:paraId="383D5BB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黑体" w:cs="Times New Roman"/>
          <w:b w:val="0"/>
          <w:bCs/>
          <w:kern w:val="2"/>
          <w:sz w:val="32"/>
          <w:szCs w:val="24"/>
          <w:lang w:val="en-US" w:eastAsia="zh-CN"/>
        </w:rPr>
      </w:pPr>
      <w:r>
        <w:rPr>
          <w:rFonts w:hint="default" w:ascii="Times New Roman" w:hAnsi="Times New Roman" w:eastAsia="黑体" w:cs="Times New Roman"/>
          <w:b w:val="0"/>
          <w:bCs/>
          <w:kern w:val="2"/>
          <w:sz w:val="32"/>
          <w:szCs w:val="24"/>
          <w:lang w:val="en-US" w:eastAsia="zh-CN"/>
        </w:rPr>
        <w:t>四、绩效评价指标分析</w:t>
      </w:r>
    </w:p>
    <w:p w14:paraId="03C9B5F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楷体_GB2312" w:cs="Times New Roman"/>
          <w:b/>
          <w:bCs w:val="0"/>
          <w:sz w:val="32"/>
          <w:szCs w:val="24"/>
          <w:lang w:eastAsia="zh-CN"/>
        </w:rPr>
      </w:pPr>
      <w:bookmarkStart w:id="2" w:name="_Toc63583614"/>
      <w:r>
        <w:rPr>
          <w:rFonts w:hint="default" w:ascii="Times New Roman" w:hAnsi="Times New Roman" w:eastAsia="楷体_GB2312" w:cs="Times New Roman"/>
          <w:b/>
          <w:bCs w:val="0"/>
          <w:sz w:val="32"/>
          <w:szCs w:val="24"/>
          <w:lang w:eastAsia="zh-CN"/>
        </w:rPr>
        <w:t>（一）项目决策情况</w:t>
      </w:r>
      <w:bookmarkEnd w:id="2"/>
    </w:p>
    <w:p w14:paraId="48013AD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1.项目立项</w:t>
      </w:r>
    </w:p>
    <w:p w14:paraId="14850B5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该项目立项符合国家经济发展规划和政策要求，是中心履职所需。结合朝阳区人才工作相关需求，从</w:t>
      </w:r>
      <w:r>
        <w:rPr>
          <w:rFonts w:hint="eastAsia" w:ascii="Times New Roman" w:hAnsi="Times New Roman" w:eastAsia="仿宋_GB2312" w:cs="Times New Roman"/>
          <w:b w:val="0"/>
          <w:bCs/>
          <w:sz w:val="32"/>
          <w:szCs w:val="32"/>
          <w:lang w:val="en-US" w:eastAsia="zh-CN"/>
        </w:rPr>
        <w:t>人才高地建设、</w:t>
      </w:r>
      <w:r>
        <w:rPr>
          <w:rFonts w:hint="eastAsia" w:eastAsia="仿宋_GB2312"/>
          <w:sz w:val="32"/>
          <w:szCs w:val="32"/>
        </w:rPr>
        <w:t>“双招双引”</w:t>
      </w:r>
      <w:r>
        <w:rPr>
          <w:rFonts w:hint="eastAsia" w:ascii="Times New Roman" w:hAnsi="Times New Roman" w:eastAsia="仿宋_GB2312" w:cs="Times New Roman"/>
          <w:b w:val="0"/>
          <w:bCs/>
          <w:sz w:val="32"/>
          <w:szCs w:val="32"/>
          <w:lang w:val="en-US" w:eastAsia="zh-CN"/>
        </w:rPr>
        <w:t>、</w:t>
      </w:r>
      <w:r>
        <w:rPr>
          <w:rFonts w:hint="eastAsia" w:eastAsia="仿宋_GB2312"/>
          <w:sz w:val="32"/>
          <w:szCs w:val="32"/>
        </w:rPr>
        <w:t>创新链产业链资金链人才链融合发展</w:t>
      </w:r>
      <w:r>
        <w:rPr>
          <w:rFonts w:hint="default" w:ascii="Times New Roman" w:hAnsi="Times New Roman" w:eastAsia="仿宋_GB2312" w:cs="Times New Roman"/>
          <w:b w:val="0"/>
          <w:bCs/>
          <w:sz w:val="32"/>
          <w:szCs w:val="32"/>
          <w:lang w:val="en-US" w:eastAsia="zh-CN"/>
        </w:rPr>
        <w:t>等方面设立该项目经费。</w:t>
      </w:r>
    </w:p>
    <w:p w14:paraId="0257C86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2.绩效目标</w:t>
      </w:r>
    </w:p>
    <w:p w14:paraId="7FC21E7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该项目绩效目标能够围绕</w:t>
      </w:r>
      <w:r>
        <w:rPr>
          <w:rFonts w:hint="default" w:ascii="Times New Roman" w:hAnsi="Times New Roman" w:eastAsia="仿宋_GB2312" w:cs="Times New Roman"/>
          <w:b w:val="0"/>
          <w:bCs/>
          <w:sz w:val="32"/>
          <w:szCs w:val="32"/>
          <w:lang w:val="en-US" w:eastAsia="zh-CN"/>
        </w:rPr>
        <w:t>中心</w:t>
      </w:r>
      <w:r>
        <w:rPr>
          <w:rFonts w:hint="default" w:ascii="Times New Roman" w:hAnsi="Times New Roman" w:eastAsia="仿宋_GB2312" w:cs="Times New Roman"/>
          <w:b w:val="0"/>
          <w:bCs/>
          <w:sz w:val="32"/>
          <w:szCs w:val="32"/>
        </w:rPr>
        <w:t>工作职责与工作目标设定，设定绩效指标较清晰。</w:t>
      </w:r>
    </w:p>
    <w:p w14:paraId="3E343F2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3.资金投入</w:t>
      </w:r>
    </w:p>
    <w:p w14:paraId="0EF40F9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该项目202</w:t>
      </w:r>
      <w:r>
        <w:rPr>
          <w:rFonts w:hint="eastAsia" w:ascii="Times New Roman" w:hAnsi="Times New Roman" w:eastAsia="仿宋_GB2312" w:cs="Times New Roman"/>
          <w:b w:val="0"/>
          <w:bCs/>
          <w:sz w:val="32"/>
          <w:szCs w:val="32"/>
          <w:lang w:eastAsia="zh-CN"/>
        </w:rPr>
        <w:t>4</w:t>
      </w:r>
      <w:r>
        <w:rPr>
          <w:rFonts w:hint="default" w:ascii="Times New Roman" w:hAnsi="Times New Roman" w:eastAsia="仿宋_GB2312" w:cs="Times New Roman"/>
          <w:b w:val="0"/>
          <w:bCs/>
          <w:sz w:val="32"/>
          <w:szCs w:val="32"/>
        </w:rPr>
        <w:t>年预算</w:t>
      </w:r>
      <w:r>
        <w:rPr>
          <w:rFonts w:hint="eastAsia" w:ascii="Times New Roman" w:hAnsi="Times New Roman" w:eastAsia="仿宋_GB2312" w:cs="Times New Roman"/>
          <w:b w:val="0"/>
          <w:bCs/>
          <w:sz w:val="32"/>
          <w:szCs w:val="32"/>
          <w:lang w:val="en-US" w:eastAsia="zh-CN"/>
        </w:rPr>
        <w:t>2637</w:t>
      </w:r>
      <w:r>
        <w:rPr>
          <w:rFonts w:hint="default" w:ascii="Times New Roman" w:hAnsi="Times New Roman" w:eastAsia="仿宋_GB2312" w:cs="Times New Roman"/>
          <w:b w:val="0"/>
          <w:bCs/>
          <w:sz w:val="32"/>
          <w:szCs w:val="32"/>
        </w:rPr>
        <w:t>万元，其中区财政资金</w:t>
      </w:r>
      <w:r>
        <w:rPr>
          <w:rFonts w:hint="eastAsia" w:ascii="Times New Roman" w:hAnsi="Times New Roman" w:eastAsia="仿宋_GB2312" w:cs="Times New Roman"/>
          <w:b w:val="0"/>
          <w:bCs/>
          <w:sz w:val="32"/>
          <w:szCs w:val="32"/>
          <w:lang w:val="en-US" w:eastAsia="zh-CN"/>
        </w:rPr>
        <w:t>2637</w:t>
      </w:r>
      <w:r>
        <w:rPr>
          <w:rFonts w:hint="default" w:ascii="Times New Roman" w:hAnsi="Times New Roman" w:eastAsia="仿宋_GB2312" w:cs="Times New Roman"/>
          <w:b w:val="0"/>
          <w:bCs/>
          <w:sz w:val="32"/>
          <w:szCs w:val="32"/>
        </w:rPr>
        <w:t>万元。实际支出</w:t>
      </w:r>
      <w:r>
        <w:rPr>
          <w:rFonts w:hint="eastAsia" w:ascii="Times New Roman" w:hAnsi="Times New Roman" w:eastAsia="仿宋_GB2312" w:cs="Times New Roman"/>
          <w:b w:val="0"/>
          <w:bCs/>
          <w:sz w:val="32"/>
          <w:szCs w:val="32"/>
          <w:lang w:val="en-US" w:eastAsia="zh-CN"/>
        </w:rPr>
        <w:t>1400</w:t>
      </w:r>
      <w:r>
        <w:rPr>
          <w:rFonts w:hint="default" w:ascii="Times New Roman" w:hAnsi="Times New Roman" w:eastAsia="仿宋_GB2312" w:cs="Times New Roman"/>
          <w:b w:val="0"/>
          <w:bCs/>
          <w:sz w:val="32"/>
          <w:szCs w:val="32"/>
        </w:rPr>
        <w:t>万元。</w:t>
      </w:r>
      <w:r>
        <w:rPr>
          <w:rFonts w:hint="default" w:ascii="Times New Roman" w:hAnsi="Times New Roman" w:eastAsia="仿宋_GB2312" w:cs="Times New Roman"/>
          <w:b w:val="0"/>
          <w:bCs/>
          <w:kern w:val="2"/>
          <w:sz w:val="32"/>
          <w:szCs w:val="24"/>
          <w:lang w:val="en-US" w:eastAsia="zh-CN"/>
        </w:rPr>
        <w:t>因机构</w:t>
      </w:r>
      <w:r>
        <w:rPr>
          <w:rFonts w:hint="eastAsia" w:ascii="Times New Roman" w:hAnsi="Times New Roman" w:eastAsia="仿宋_GB2312" w:cs="Times New Roman"/>
          <w:b w:val="0"/>
          <w:bCs/>
          <w:kern w:val="2"/>
          <w:sz w:val="32"/>
          <w:szCs w:val="24"/>
          <w:lang w:val="en-US" w:eastAsia="zh-CN"/>
        </w:rPr>
        <w:t>调整</w:t>
      </w:r>
      <w:r>
        <w:rPr>
          <w:rFonts w:hint="default" w:ascii="Times New Roman" w:hAnsi="Times New Roman" w:eastAsia="仿宋_GB2312" w:cs="Times New Roman"/>
          <w:b w:val="0"/>
          <w:bCs/>
          <w:kern w:val="2"/>
          <w:sz w:val="32"/>
          <w:szCs w:val="24"/>
          <w:lang w:val="en-US" w:eastAsia="zh-CN"/>
        </w:rPr>
        <w:t>，剩余</w:t>
      </w:r>
      <w:r>
        <w:rPr>
          <w:rFonts w:hint="eastAsia" w:ascii="Times New Roman" w:hAnsi="Times New Roman" w:eastAsia="仿宋_GB2312" w:cs="Times New Roman"/>
          <w:b w:val="0"/>
          <w:bCs/>
          <w:kern w:val="2"/>
          <w:sz w:val="32"/>
          <w:szCs w:val="24"/>
          <w:lang w:val="en-US" w:eastAsia="zh-CN"/>
        </w:rPr>
        <w:t>资金1237万元于2024年7月</w:t>
      </w:r>
      <w:r>
        <w:rPr>
          <w:rFonts w:hint="default" w:ascii="Times New Roman" w:hAnsi="Times New Roman" w:eastAsia="仿宋_GB2312" w:cs="Times New Roman"/>
          <w:b w:val="0"/>
          <w:bCs/>
          <w:kern w:val="2"/>
          <w:sz w:val="32"/>
          <w:szCs w:val="24"/>
          <w:lang w:val="en-US" w:eastAsia="zh-CN"/>
        </w:rPr>
        <w:t>转至朝阳区人才工作局。</w:t>
      </w:r>
    </w:p>
    <w:p w14:paraId="3FFEDA1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评价认为，项目立项、决策过程较为规范，符合国家宏观政策要求，与</w:t>
      </w:r>
      <w:r>
        <w:rPr>
          <w:rFonts w:hint="default" w:ascii="Times New Roman" w:hAnsi="Times New Roman" w:eastAsia="仿宋_GB2312" w:cs="Times New Roman"/>
          <w:b w:val="0"/>
          <w:bCs/>
          <w:sz w:val="32"/>
          <w:szCs w:val="32"/>
          <w:lang w:val="en-US" w:eastAsia="zh-CN"/>
        </w:rPr>
        <w:t>中心</w:t>
      </w:r>
      <w:r>
        <w:rPr>
          <w:rFonts w:hint="default" w:ascii="Times New Roman" w:hAnsi="Times New Roman" w:eastAsia="仿宋_GB2312" w:cs="Times New Roman"/>
          <w:b w:val="0"/>
          <w:bCs/>
          <w:sz w:val="32"/>
          <w:szCs w:val="32"/>
        </w:rPr>
        <w:t>职能定位和发展规划相符；绩效目标设定</w:t>
      </w:r>
      <w:r>
        <w:rPr>
          <w:rFonts w:hint="default" w:ascii="Times New Roman" w:hAnsi="Times New Roman" w:eastAsia="仿宋_GB2312" w:cs="Times New Roman"/>
          <w:b w:val="0"/>
          <w:bCs/>
          <w:sz w:val="32"/>
          <w:szCs w:val="32"/>
          <w:lang w:val="en-US" w:eastAsia="zh-CN"/>
        </w:rPr>
        <w:t>较清晰</w:t>
      </w:r>
      <w:r>
        <w:rPr>
          <w:rFonts w:hint="default" w:ascii="Times New Roman" w:hAnsi="Times New Roman" w:eastAsia="仿宋_GB2312" w:cs="Times New Roman"/>
          <w:b w:val="0"/>
          <w:bCs/>
          <w:sz w:val="32"/>
          <w:szCs w:val="32"/>
        </w:rPr>
        <w:t>。</w:t>
      </w:r>
    </w:p>
    <w:p w14:paraId="055FE16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楷体_GB2312" w:cs="Times New Roman"/>
          <w:b/>
          <w:bCs w:val="0"/>
          <w:sz w:val="32"/>
          <w:szCs w:val="24"/>
          <w:lang w:eastAsia="zh-CN"/>
        </w:rPr>
      </w:pPr>
      <w:bookmarkStart w:id="3" w:name="_Toc63583615"/>
      <w:r>
        <w:rPr>
          <w:rFonts w:hint="default" w:ascii="Times New Roman" w:hAnsi="Times New Roman" w:eastAsia="楷体_GB2312" w:cs="Times New Roman"/>
          <w:b/>
          <w:bCs w:val="0"/>
          <w:sz w:val="32"/>
          <w:szCs w:val="24"/>
          <w:lang w:eastAsia="zh-CN"/>
        </w:rPr>
        <w:t>（二）项目过程情况</w:t>
      </w:r>
      <w:bookmarkEnd w:id="3"/>
    </w:p>
    <w:p w14:paraId="127A3B3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1.资金管理</w:t>
      </w:r>
    </w:p>
    <w:p w14:paraId="503F1C6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该项目</w:t>
      </w:r>
      <w:r>
        <w:rPr>
          <w:rFonts w:hint="default" w:ascii="Times New Roman" w:hAnsi="Times New Roman" w:eastAsia="仿宋_GB2312" w:cs="Times New Roman"/>
          <w:b w:val="0"/>
          <w:bCs/>
          <w:sz w:val="32"/>
          <w:szCs w:val="32"/>
          <w:lang w:val="en-US" w:eastAsia="zh-CN"/>
        </w:rPr>
        <w:t>中心</w:t>
      </w:r>
      <w:r>
        <w:rPr>
          <w:rFonts w:hint="default" w:ascii="Times New Roman" w:hAnsi="Times New Roman" w:eastAsia="仿宋_GB2312" w:cs="Times New Roman"/>
          <w:b w:val="0"/>
          <w:bCs/>
          <w:sz w:val="32"/>
          <w:szCs w:val="32"/>
        </w:rPr>
        <w:t>全年收到财政资金</w:t>
      </w:r>
      <w:r>
        <w:rPr>
          <w:rFonts w:hint="eastAsia" w:ascii="Times New Roman" w:hAnsi="Times New Roman" w:eastAsia="仿宋_GB2312" w:cs="Times New Roman"/>
          <w:b w:val="0"/>
          <w:bCs/>
          <w:sz w:val="32"/>
          <w:szCs w:val="32"/>
          <w:lang w:val="en-US" w:eastAsia="zh-CN"/>
        </w:rPr>
        <w:t>2637</w:t>
      </w:r>
      <w:r>
        <w:rPr>
          <w:rFonts w:hint="default" w:ascii="Times New Roman" w:hAnsi="Times New Roman" w:eastAsia="仿宋_GB2312" w:cs="Times New Roman"/>
          <w:b w:val="0"/>
          <w:bCs/>
          <w:sz w:val="32"/>
          <w:szCs w:val="32"/>
        </w:rPr>
        <w:t>万元，其中区级财政资金</w:t>
      </w:r>
      <w:r>
        <w:rPr>
          <w:rFonts w:hint="eastAsia" w:ascii="Times New Roman" w:hAnsi="Times New Roman" w:eastAsia="仿宋_GB2312" w:cs="Times New Roman"/>
          <w:b w:val="0"/>
          <w:bCs/>
          <w:sz w:val="32"/>
          <w:szCs w:val="32"/>
          <w:lang w:val="en-US" w:eastAsia="zh-CN"/>
        </w:rPr>
        <w:t>2637</w:t>
      </w:r>
      <w:r>
        <w:rPr>
          <w:rFonts w:hint="default" w:ascii="Times New Roman" w:hAnsi="Times New Roman" w:eastAsia="仿宋_GB2312" w:cs="Times New Roman"/>
          <w:b w:val="0"/>
          <w:bCs/>
          <w:sz w:val="32"/>
          <w:szCs w:val="32"/>
        </w:rPr>
        <w:t>万元，实际支出</w:t>
      </w:r>
      <w:r>
        <w:rPr>
          <w:rFonts w:hint="eastAsia" w:ascii="Times New Roman" w:hAnsi="Times New Roman" w:eastAsia="仿宋_GB2312" w:cs="Times New Roman"/>
          <w:b w:val="0"/>
          <w:bCs/>
          <w:sz w:val="32"/>
          <w:szCs w:val="32"/>
          <w:lang w:val="en-US" w:eastAsia="zh-CN"/>
        </w:rPr>
        <w:t>1400</w:t>
      </w:r>
      <w:r>
        <w:rPr>
          <w:rFonts w:hint="default" w:ascii="Times New Roman" w:hAnsi="Times New Roman" w:eastAsia="仿宋_GB2312" w:cs="Times New Roman"/>
          <w:b w:val="0"/>
          <w:bCs/>
          <w:sz w:val="32"/>
          <w:szCs w:val="32"/>
        </w:rPr>
        <w:t>万元，</w:t>
      </w:r>
      <w:r>
        <w:rPr>
          <w:rFonts w:hint="default" w:ascii="Times New Roman" w:hAnsi="Times New Roman" w:eastAsia="仿宋_GB2312" w:cs="Times New Roman"/>
          <w:b w:val="0"/>
          <w:bCs/>
          <w:sz w:val="32"/>
          <w:szCs w:val="32"/>
          <w:lang w:val="en-US" w:eastAsia="zh-CN"/>
        </w:rPr>
        <w:t>其中</w:t>
      </w:r>
      <w:r>
        <w:rPr>
          <w:rFonts w:hint="default" w:ascii="Times New Roman" w:hAnsi="Times New Roman" w:eastAsia="仿宋_GB2312" w:cs="Times New Roman"/>
          <w:b w:val="0"/>
          <w:bCs/>
          <w:sz w:val="32"/>
          <w:szCs w:val="32"/>
        </w:rPr>
        <w:t>区级财政资金</w:t>
      </w:r>
      <w:r>
        <w:rPr>
          <w:rFonts w:hint="eastAsia" w:ascii="Times New Roman" w:hAnsi="Times New Roman" w:eastAsia="仿宋_GB2312" w:cs="Times New Roman"/>
          <w:b w:val="0"/>
          <w:bCs/>
          <w:sz w:val="32"/>
          <w:szCs w:val="32"/>
          <w:lang w:val="en-US" w:eastAsia="zh-CN"/>
        </w:rPr>
        <w:t>1400</w:t>
      </w:r>
      <w:r>
        <w:rPr>
          <w:rFonts w:hint="default" w:ascii="Times New Roman" w:hAnsi="Times New Roman" w:eastAsia="仿宋_GB2312" w:cs="Times New Roman"/>
          <w:b w:val="0"/>
          <w:bCs/>
          <w:sz w:val="32"/>
          <w:szCs w:val="32"/>
        </w:rPr>
        <w:t>万元。</w:t>
      </w:r>
      <w:r>
        <w:rPr>
          <w:rFonts w:hint="default" w:ascii="Times New Roman" w:hAnsi="Times New Roman" w:eastAsia="仿宋_GB2312" w:cs="Times New Roman"/>
          <w:b w:val="0"/>
          <w:bCs/>
          <w:kern w:val="2"/>
          <w:sz w:val="32"/>
          <w:szCs w:val="24"/>
          <w:lang w:val="en-US" w:eastAsia="zh-CN"/>
        </w:rPr>
        <w:t>因机构</w:t>
      </w:r>
      <w:r>
        <w:rPr>
          <w:rFonts w:hint="eastAsia" w:ascii="Times New Roman" w:hAnsi="Times New Roman" w:eastAsia="仿宋_GB2312" w:cs="Times New Roman"/>
          <w:b w:val="0"/>
          <w:bCs/>
          <w:kern w:val="2"/>
          <w:sz w:val="32"/>
          <w:szCs w:val="24"/>
          <w:lang w:val="en-US" w:eastAsia="zh-CN"/>
        </w:rPr>
        <w:t>调整</w:t>
      </w:r>
      <w:r>
        <w:rPr>
          <w:rFonts w:hint="default" w:ascii="Times New Roman" w:hAnsi="Times New Roman" w:eastAsia="仿宋_GB2312" w:cs="Times New Roman"/>
          <w:b w:val="0"/>
          <w:bCs/>
          <w:kern w:val="2"/>
          <w:sz w:val="32"/>
          <w:szCs w:val="24"/>
          <w:lang w:val="en-US" w:eastAsia="zh-CN"/>
        </w:rPr>
        <w:t>，剩余</w:t>
      </w:r>
      <w:r>
        <w:rPr>
          <w:rFonts w:hint="eastAsia" w:ascii="Times New Roman" w:hAnsi="Times New Roman" w:eastAsia="仿宋_GB2312" w:cs="Times New Roman"/>
          <w:b w:val="0"/>
          <w:bCs/>
          <w:kern w:val="2"/>
          <w:sz w:val="32"/>
          <w:szCs w:val="24"/>
          <w:lang w:val="en-US" w:eastAsia="zh-CN"/>
        </w:rPr>
        <w:t>资金1237万元于2024年7月</w:t>
      </w:r>
      <w:r>
        <w:rPr>
          <w:rFonts w:hint="default" w:ascii="Times New Roman" w:hAnsi="Times New Roman" w:eastAsia="仿宋_GB2312" w:cs="Times New Roman"/>
          <w:b w:val="0"/>
          <w:bCs/>
          <w:kern w:val="2"/>
          <w:sz w:val="32"/>
          <w:szCs w:val="24"/>
          <w:lang w:val="en-US" w:eastAsia="zh-CN"/>
        </w:rPr>
        <w:t>转至朝阳区人才工作局。</w:t>
      </w:r>
    </w:p>
    <w:p w14:paraId="4A676125">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default" w:ascii="Times New Roman" w:hAnsi="Times New Roman" w:eastAsia="仿宋_GB2312" w:cs="Times New Roman"/>
          <w:b w:val="0"/>
          <w:bCs/>
          <w:sz w:val="32"/>
          <w:szCs w:val="32"/>
          <w:lang w:val="en-US" w:eastAsia="zh-CN"/>
        </w:rPr>
      </w:pPr>
      <w:r>
        <w:rPr>
          <w:rFonts w:hint="default" w:ascii="Times New Roman" w:hAnsi="Times New Roman" w:eastAsia="仿宋_GB2312" w:cs="Times New Roman"/>
          <w:b w:val="0"/>
          <w:bCs/>
          <w:sz w:val="32"/>
          <w:szCs w:val="32"/>
        </w:rPr>
        <w:t>该项目预算执行率为</w:t>
      </w:r>
      <w:r>
        <w:rPr>
          <w:rFonts w:hint="eastAsia"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14:paraId="6F53A32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中心</w:t>
      </w:r>
      <w:r>
        <w:rPr>
          <w:rFonts w:hint="default" w:ascii="Times New Roman" w:hAnsi="Times New Roman" w:eastAsia="仿宋_GB2312" w:cs="Times New Roman"/>
          <w:b w:val="0"/>
          <w:bCs/>
          <w:sz w:val="32"/>
          <w:szCs w:val="32"/>
        </w:rPr>
        <w:t>支付的相关支出财务核算</w:t>
      </w:r>
      <w:r>
        <w:rPr>
          <w:rFonts w:hint="default" w:ascii="Times New Roman" w:hAnsi="Times New Roman" w:eastAsia="仿宋_GB2312" w:cs="Times New Roman"/>
          <w:b w:val="0"/>
          <w:bCs/>
          <w:sz w:val="32"/>
          <w:szCs w:val="32"/>
          <w:lang w:val="en-US" w:eastAsia="zh-CN"/>
        </w:rPr>
        <w:t>较及时</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财务资料较为完整；</w:t>
      </w:r>
      <w:r>
        <w:rPr>
          <w:rFonts w:hint="default" w:ascii="Times New Roman" w:hAnsi="Times New Roman" w:eastAsia="仿宋_GB2312" w:cs="Times New Roman"/>
          <w:b w:val="0"/>
          <w:bCs/>
          <w:sz w:val="32"/>
          <w:szCs w:val="32"/>
          <w:lang w:val="en-US" w:eastAsia="zh-CN"/>
        </w:rPr>
        <w:t>中心</w:t>
      </w:r>
      <w:r>
        <w:rPr>
          <w:rFonts w:hint="default" w:ascii="Times New Roman" w:hAnsi="Times New Roman" w:eastAsia="仿宋_GB2312" w:cs="Times New Roman"/>
          <w:b w:val="0"/>
          <w:bCs/>
          <w:sz w:val="32"/>
          <w:szCs w:val="32"/>
        </w:rPr>
        <w:t>根据相关财务管理制度，对项目资金支出的审批、拨付进行管理，制定的项目资金使用流程比较规范，履行了资金支付程序。</w:t>
      </w:r>
    </w:p>
    <w:p w14:paraId="013559E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rPr>
      </w:pPr>
      <w:bookmarkStart w:id="4" w:name="_Toc63264568"/>
      <w:bookmarkStart w:id="5" w:name="_Toc63263761"/>
      <w:r>
        <w:rPr>
          <w:rFonts w:hint="default" w:ascii="Times New Roman" w:hAnsi="Times New Roman" w:eastAsia="仿宋_GB2312" w:cs="Times New Roman"/>
          <w:b w:val="0"/>
          <w:bCs/>
          <w:sz w:val="32"/>
          <w:szCs w:val="32"/>
        </w:rPr>
        <w:t>2.组织实施</w:t>
      </w:r>
      <w:bookmarkEnd w:id="4"/>
      <w:bookmarkEnd w:id="5"/>
    </w:p>
    <w:p w14:paraId="3424591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中心</w:t>
      </w:r>
      <w:r>
        <w:rPr>
          <w:rFonts w:hint="default" w:ascii="Times New Roman" w:hAnsi="Times New Roman" w:eastAsia="仿宋_GB2312" w:cs="Times New Roman"/>
          <w:b w:val="0"/>
          <w:bCs/>
          <w:sz w:val="32"/>
          <w:szCs w:val="32"/>
        </w:rPr>
        <w:t>在遵循《会计法》等制度、法规的基础上，制定了《北京市朝阳区高层次人才服务中心财务管理制度》、《北京市朝阳区高层次人才服务中心经费支出管理制度》等相关财务管理制度，项目资金</w:t>
      </w:r>
      <w:r>
        <w:rPr>
          <w:rFonts w:hint="default" w:ascii="Times New Roman" w:hAnsi="Times New Roman" w:eastAsia="仿宋_GB2312" w:cs="Times New Roman"/>
          <w:b w:val="0"/>
          <w:bCs/>
          <w:sz w:val="32"/>
          <w:szCs w:val="32"/>
          <w:lang w:val="en-US" w:eastAsia="zh-CN"/>
        </w:rPr>
        <w:t>使用能够按照相关制度要求执行。</w:t>
      </w:r>
    </w:p>
    <w:p w14:paraId="0B05B43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评价认为，该项目管理制度和组织机构较为健全，项目职责分工较明确。</w:t>
      </w:r>
    </w:p>
    <w:p w14:paraId="71BF510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楷体_GB2312" w:cs="Times New Roman"/>
          <w:b/>
          <w:bCs w:val="0"/>
          <w:sz w:val="32"/>
          <w:szCs w:val="24"/>
          <w:lang w:eastAsia="zh-CN"/>
        </w:rPr>
      </w:pPr>
      <w:bookmarkStart w:id="6" w:name="_Toc63583616"/>
      <w:r>
        <w:rPr>
          <w:rFonts w:hint="default" w:ascii="Times New Roman" w:hAnsi="Times New Roman" w:eastAsia="楷体_GB2312" w:cs="Times New Roman"/>
          <w:b/>
          <w:bCs w:val="0"/>
          <w:sz w:val="32"/>
          <w:szCs w:val="24"/>
          <w:lang w:eastAsia="zh-CN"/>
        </w:rPr>
        <w:t>（三）项目产出情况</w:t>
      </w:r>
      <w:bookmarkEnd w:id="6"/>
    </w:p>
    <w:p w14:paraId="63EBBC9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highlight w:val="none"/>
        </w:rPr>
      </w:pPr>
      <w:r>
        <w:rPr>
          <w:rFonts w:hint="default" w:ascii="Times New Roman" w:hAnsi="Times New Roman" w:eastAsia="仿宋_GB2312" w:cs="Times New Roman"/>
          <w:b w:val="0"/>
          <w:bCs/>
          <w:sz w:val="32"/>
          <w:szCs w:val="32"/>
          <w:highlight w:val="none"/>
        </w:rPr>
        <w:t>1.项目产出数量</w:t>
      </w:r>
    </w:p>
    <w:p w14:paraId="4D55E13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eastAsia="zh-CN"/>
        </w:rPr>
        <w:t>第十届获奖项目兑现</w:t>
      </w:r>
      <w:r>
        <w:rPr>
          <w:rFonts w:hint="eastAsia" w:ascii="Times New Roman" w:hAnsi="Times New Roman" w:eastAsia="仿宋_GB2312" w:cs="Times New Roman"/>
          <w:b w:val="0"/>
          <w:bCs/>
          <w:sz w:val="32"/>
          <w:szCs w:val="32"/>
          <w:lang w:val="en-US" w:eastAsia="zh-CN"/>
        </w:rPr>
        <w:t>30个，第十一届获奖项目兑现13个，落地助力官兑现2个。</w:t>
      </w:r>
    </w:p>
    <w:p w14:paraId="3683022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highlight w:val="none"/>
        </w:rPr>
      </w:pPr>
      <w:r>
        <w:rPr>
          <w:rFonts w:hint="default" w:ascii="Times New Roman" w:hAnsi="Times New Roman" w:eastAsia="仿宋_GB2312" w:cs="Times New Roman"/>
          <w:b w:val="0"/>
          <w:bCs/>
          <w:sz w:val="32"/>
          <w:szCs w:val="32"/>
          <w:highlight w:val="none"/>
        </w:rPr>
        <w:t>2.项目产出质量</w:t>
      </w:r>
    </w:p>
    <w:p w14:paraId="0CF271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highlight w:val="none"/>
        </w:rPr>
      </w:pPr>
      <w:r>
        <w:rPr>
          <w:rFonts w:hint="eastAsia" w:ascii="Times New Roman" w:hAnsi="Times New Roman" w:eastAsia="仿宋_GB2312" w:cs="Times New Roman"/>
          <w:b w:val="0"/>
          <w:bCs/>
          <w:sz w:val="32"/>
          <w:szCs w:val="32"/>
          <w:highlight w:val="none"/>
          <w:lang w:val="en-US" w:eastAsia="zh-CN"/>
        </w:rPr>
        <w:t>项目申请审核通过率100%</w:t>
      </w:r>
      <w:r>
        <w:rPr>
          <w:rFonts w:hint="default" w:ascii="Times New Roman" w:hAnsi="Times New Roman" w:eastAsia="仿宋_GB2312" w:cs="Times New Roman"/>
          <w:b w:val="0"/>
          <w:bCs/>
          <w:sz w:val="32"/>
          <w:szCs w:val="32"/>
          <w:highlight w:val="none"/>
        </w:rPr>
        <w:t>。</w:t>
      </w:r>
    </w:p>
    <w:p w14:paraId="424B1BE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highlight w:val="none"/>
        </w:rPr>
      </w:pPr>
      <w:r>
        <w:rPr>
          <w:rFonts w:hint="default" w:ascii="Times New Roman" w:hAnsi="Times New Roman" w:eastAsia="仿宋_GB2312" w:cs="Times New Roman"/>
          <w:b w:val="0"/>
          <w:bCs/>
          <w:sz w:val="32"/>
          <w:szCs w:val="32"/>
          <w:highlight w:val="none"/>
        </w:rPr>
        <w:t>3.项目产出时效</w:t>
      </w:r>
    </w:p>
    <w:p w14:paraId="35085D7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highlight w:val="none"/>
        </w:rPr>
      </w:pPr>
      <w:r>
        <w:rPr>
          <w:rFonts w:hint="default" w:ascii="Times New Roman" w:hAnsi="Times New Roman" w:eastAsia="仿宋_GB2312" w:cs="Times New Roman"/>
          <w:b w:val="0"/>
          <w:bCs/>
          <w:sz w:val="32"/>
          <w:szCs w:val="32"/>
          <w:highlight w:val="none"/>
          <w:lang w:val="en-US" w:eastAsia="zh-CN"/>
        </w:rPr>
        <w:t>支出进度方面：</w:t>
      </w:r>
      <w:r>
        <w:rPr>
          <w:rFonts w:hint="eastAsia" w:ascii="Times New Roman" w:hAnsi="Times New Roman" w:eastAsia="仿宋_GB2312" w:cs="Times New Roman"/>
          <w:b w:val="0"/>
          <w:bCs/>
          <w:sz w:val="32"/>
          <w:szCs w:val="32"/>
          <w:highlight w:val="none"/>
          <w:lang w:val="en-US" w:eastAsia="zh-CN"/>
        </w:rPr>
        <w:t>该项目</w:t>
      </w:r>
      <w:r>
        <w:rPr>
          <w:rFonts w:hint="default" w:ascii="Times New Roman" w:hAnsi="Times New Roman" w:eastAsia="仿宋_GB2312" w:cs="Times New Roman"/>
          <w:b w:val="0"/>
          <w:bCs/>
          <w:sz w:val="32"/>
          <w:szCs w:val="32"/>
        </w:rPr>
        <w:t>实际支出</w:t>
      </w:r>
      <w:r>
        <w:rPr>
          <w:rFonts w:hint="eastAsia" w:ascii="Times New Roman" w:hAnsi="Times New Roman" w:eastAsia="仿宋_GB2312" w:cs="Times New Roman"/>
          <w:b w:val="0"/>
          <w:bCs/>
          <w:sz w:val="32"/>
          <w:szCs w:val="32"/>
          <w:lang w:val="en-US" w:eastAsia="zh-CN"/>
        </w:rPr>
        <w:t>1400</w:t>
      </w:r>
      <w:r>
        <w:rPr>
          <w:rFonts w:hint="default" w:ascii="Times New Roman" w:hAnsi="Times New Roman" w:eastAsia="仿宋_GB2312" w:cs="Times New Roman"/>
          <w:b w:val="0"/>
          <w:bCs/>
          <w:sz w:val="32"/>
          <w:szCs w:val="32"/>
        </w:rPr>
        <w:t>万元</w:t>
      </w:r>
      <w:r>
        <w:rPr>
          <w:rFonts w:hint="default" w:ascii="Times New Roman" w:hAnsi="Times New Roman" w:eastAsia="仿宋_GB2312" w:cs="Times New Roman"/>
          <w:b w:val="0"/>
          <w:bCs/>
          <w:sz w:val="32"/>
          <w:szCs w:val="32"/>
          <w:highlight w:val="none"/>
        </w:rPr>
        <w:t>，</w:t>
      </w:r>
      <w:r>
        <w:rPr>
          <w:rFonts w:hint="default" w:ascii="Times New Roman" w:hAnsi="Times New Roman" w:eastAsia="仿宋_GB2312" w:cs="Times New Roman"/>
          <w:b w:val="0"/>
          <w:bCs/>
          <w:sz w:val="32"/>
          <w:szCs w:val="32"/>
          <w:highlight w:val="none"/>
          <w:lang w:val="en-US" w:eastAsia="zh-CN"/>
        </w:rPr>
        <w:t>预算执行</w:t>
      </w:r>
      <w:r>
        <w:rPr>
          <w:rFonts w:hint="eastAsia" w:ascii="Times New Roman" w:hAnsi="Times New Roman" w:eastAsia="仿宋_GB2312" w:cs="Times New Roman"/>
          <w:b w:val="0"/>
          <w:bCs/>
          <w:sz w:val="32"/>
          <w:szCs w:val="32"/>
          <w:highlight w:val="none"/>
          <w:lang w:val="en-US" w:eastAsia="zh-CN"/>
        </w:rPr>
        <w:t>100</w:t>
      </w:r>
      <w:r>
        <w:rPr>
          <w:rFonts w:hint="default" w:ascii="Times New Roman" w:hAnsi="Times New Roman" w:eastAsia="仿宋_GB2312" w:cs="Times New Roman"/>
          <w:b w:val="0"/>
          <w:bCs/>
          <w:sz w:val="32"/>
          <w:szCs w:val="32"/>
          <w:highlight w:val="none"/>
          <w:lang w:val="en-US" w:eastAsia="zh-CN"/>
        </w:rPr>
        <w:t>%</w:t>
      </w:r>
      <w:r>
        <w:rPr>
          <w:rFonts w:hint="eastAsia" w:ascii="Times New Roman" w:hAnsi="Times New Roman" w:eastAsia="仿宋_GB2312" w:cs="Times New Roman"/>
          <w:b w:val="0"/>
          <w:bCs/>
          <w:sz w:val="32"/>
          <w:szCs w:val="32"/>
          <w:highlight w:val="none"/>
          <w:lang w:val="en-US" w:eastAsia="zh-CN"/>
        </w:rPr>
        <w:t>。</w:t>
      </w:r>
    </w:p>
    <w:p w14:paraId="5469ABB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4.项目产出成本</w:t>
      </w:r>
    </w:p>
    <w:p w14:paraId="20BC468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企业资信调查成本</w:t>
      </w:r>
      <w:r>
        <w:rPr>
          <w:rFonts w:hint="eastAsia" w:ascii="Times New Roman" w:hAnsi="Times New Roman" w:eastAsia="仿宋_GB2312" w:cs="Times New Roman"/>
          <w:b w:val="0"/>
          <w:bCs/>
          <w:sz w:val="32"/>
          <w:szCs w:val="32"/>
          <w:lang w:eastAsia="zh-CN"/>
        </w:rPr>
        <w:t>为</w:t>
      </w:r>
      <w:r>
        <w:rPr>
          <w:rFonts w:hint="eastAsia" w:ascii="Times New Roman" w:hAnsi="Times New Roman" w:eastAsia="仿宋_GB2312" w:cs="Times New Roman"/>
          <w:b w:val="0"/>
          <w:bCs/>
          <w:sz w:val="32"/>
          <w:szCs w:val="32"/>
          <w:lang w:val="en-US" w:eastAsia="zh-CN"/>
        </w:rPr>
        <w:t>0</w:t>
      </w:r>
      <w:r>
        <w:rPr>
          <w:rFonts w:hint="default" w:ascii="Times New Roman" w:hAnsi="Times New Roman" w:eastAsia="仿宋_GB2312" w:cs="Times New Roman"/>
          <w:b w:val="0"/>
          <w:bCs/>
          <w:sz w:val="32"/>
          <w:szCs w:val="32"/>
        </w:rPr>
        <w:t>。</w:t>
      </w:r>
    </w:p>
    <w:p w14:paraId="6890128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评价认为，该项目产出情况较好，</w:t>
      </w:r>
      <w:r>
        <w:rPr>
          <w:rFonts w:hint="default" w:ascii="Times New Roman" w:hAnsi="Times New Roman" w:eastAsia="仿宋_GB2312" w:cs="Times New Roman"/>
          <w:b w:val="0"/>
          <w:bCs/>
          <w:sz w:val="32"/>
          <w:szCs w:val="32"/>
          <w:lang w:val="en-US" w:eastAsia="zh-CN"/>
        </w:rPr>
        <w:t>中心较好的完成了相关产出指标，提升了</w:t>
      </w:r>
      <w:r>
        <w:rPr>
          <w:rFonts w:hint="eastAsia" w:ascii="Times New Roman" w:hAnsi="Times New Roman" w:eastAsia="仿宋_GB2312" w:cs="Times New Roman"/>
          <w:b w:val="0"/>
          <w:bCs/>
          <w:sz w:val="32"/>
          <w:szCs w:val="32"/>
          <w:lang w:val="en-US" w:eastAsia="zh-CN"/>
        </w:rPr>
        <w:t>朝阳区“双招双引”质效</w:t>
      </w:r>
      <w:r>
        <w:rPr>
          <w:rFonts w:hint="default" w:ascii="Times New Roman" w:hAnsi="Times New Roman" w:eastAsia="仿宋_GB2312" w:cs="Times New Roman"/>
          <w:b w:val="0"/>
          <w:bCs/>
          <w:sz w:val="32"/>
          <w:szCs w:val="32"/>
        </w:rPr>
        <w:t>。</w:t>
      </w:r>
    </w:p>
    <w:p w14:paraId="03664A5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楷体_GB2312" w:cs="Times New Roman"/>
          <w:b/>
          <w:bCs w:val="0"/>
          <w:sz w:val="32"/>
          <w:szCs w:val="24"/>
          <w:lang w:eastAsia="zh-CN"/>
        </w:rPr>
      </w:pPr>
      <w:bookmarkStart w:id="7" w:name="_Toc63583617"/>
      <w:r>
        <w:rPr>
          <w:rFonts w:hint="default" w:ascii="Times New Roman" w:hAnsi="Times New Roman" w:eastAsia="楷体_GB2312" w:cs="Times New Roman"/>
          <w:b/>
          <w:bCs w:val="0"/>
          <w:sz w:val="32"/>
          <w:szCs w:val="24"/>
          <w:lang w:eastAsia="zh-CN"/>
        </w:rPr>
        <w:t>（四）项目效益情况</w:t>
      </w:r>
      <w:bookmarkEnd w:id="7"/>
    </w:p>
    <w:p w14:paraId="42D180A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1.项目实施效益分析</w:t>
      </w:r>
    </w:p>
    <w:p w14:paraId="7B2AE19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lang w:eastAsia="zh-CN"/>
        </w:rPr>
      </w:pPr>
      <w:r>
        <w:rPr>
          <w:rFonts w:hint="eastAsia" w:ascii="Times New Roman" w:hAnsi="Times New Roman" w:eastAsia="仿宋_GB2312" w:cs="Times New Roman"/>
          <w:b w:val="0"/>
          <w:bCs/>
          <w:sz w:val="32"/>
          <w:szCs w:val="32"/>
          <w:lang w:val="en-US" w:eastAsia="zh-CN"/>
        </w:rPr>
        <w:t>第十届ITEC</w:t>
      </w:r>
      <w:r>
        <w:rPr>
          <w:rFonts w:hint="eastAsia" w:ascii="Times New Roman" w:hAnsi="Times New Roman" w:eastAsia="仿宋_GB2312" w:cs="仿宋_GB2312"/>
          <w:sz w:val="32"/>
          <w:szCs w:val="32"/>
          <w:lang w:val="en-US" w:eastAsia="zh-CN"/>
        </w:rPr>
        <w:t>共吸引39</w:t>
      </w:r>
      <w:r>
        <w:rPr>
          <w:rFonts w:hint="eastAsia" w:ascii="Times New Roman" w:hAnsi="Times New Roman" w:eastAsia="仿宋_GB2312" w:cs="仿宋_GB2312"/>
          <w:sz w:val="32"/>
          <w:szCs w:val="32"/>
        </w:rPr>
        <w:t>个国家和地区</w:t>
      </w:r>
      <w:r>
        <w:rPr>
          <w:rFonts w:hint="eastAsia" w:ascii="Times New Roman" w:hAnsi="Times New Roman" w:eastAsia="仿宋_GB2312" w:cs="仿宋_GB2312"/>
          <w:sz w:val="32"/>
          <w:szCs w:val="32"/>
          <w:lang w:val="en-US" w:eastAsia="zh-CN"/>
        </w:rPr>
        <w:t>的1126</w:t>
      </w:r>
      <w:r>
        <w:rPr>
          <w:rFonts w:hint="eastAsia" w:ascii="Times New Roman" w:hAnsi="Times New Roman" w:eastAsia="仿宋_GB2312" w:cs="仿宋_GB2312"/>
          <w:sz w:val="32"/>
          <w:szCs w:val="32"/>
        </w:rPr>
        <w:t>个项目报名</w:t>
      </w:r>
      <w:r>
        <w:rPr>
          <w:rFonts w:hint="eastAsia" w:ascii="Times New Roman" w:hAnsi="Times New Roman" w:eastAsia="仿宋_GB2312" w:cs="仿宋_GB2312"/>
          <w:sz w:val="32"/>
          <w:szCs w:val="32"/>
          <w:lang w:val="en-US" w:eastAsia="zh-CN"/>
        </w:rPr>
        <w:t>参赛，其中海外项目401个</w:t>
      </w:r>
      <w:r>
        <w:rPr>
          <w:rFonts w:hint="default" w:ascii="Times New Roman" w:hAnsi="Times New Roman" w:eastAsia="仿宋_GB2312" w:cs="Times New Roman"/>
          <w:b w:val="0"/>
          <w:bCs/>
          <w:sz w:val="32"/>
          <w:szCs w:val="32"/>
          <w:lang w:eastAsia="zh-CN"/>
        </w:rPr>
        <w:t>。</w:t>
      </w:r>
      <w:r>
        <w:rPr>
          <w:rFonts w:hint="eastAsia" w:ascii="Times New Roman" w:hAnsi="Times New Roman" w:eastAsia="仿宋_GB2312" w:cs="Times New Roman"/>
          <w:b w:val="0"/>
          <w:bCs/>
          <w:sz w:val="32"/>
          <w:szCs w:val="32"/>
          <w:lang w:val="en-US" w:eastAsia="zh-CN"/>
        </w:rPr>
        <w:t>第十一届ITEC</w:t>
      </w:r>
      <w:r>
        <w:rPr>
          <w:rFonts w:hint="eastAsia" w:ascii="Times New Roman" w:hAnsi="Times New Roman" w:eastAsia="仿宋_GB2312" w:cs="仿宋_GB2312"/>
          <w:sz w:val="32"/>
          <w:szCs w:val="32"/>
          <w:lang w:val="en-US" w:eastAsia="zh-CN"/>
        </w:rPr>
        <w:t>共吸引</w:t>
      </w:r>
      <w:r>
        <w:rPr>
          <w:rFonts w:hint="eastAsia" w:ascii="Times New Roman" w:hAnsi="Times New Roman" w:eastAsia="仿宋_GB2312" w:cs="仿宋_GB2312"/>
          <w:sz w:val="32"/>
          <w:szCs w:val="32"/>
        </w:rPr>
        <w:t>72个国家和地区</w:t>
      </w:r>
      <w:r>
        <w:rPr>
          <w:rFonts w:hint="eastAsia" w:ascii="Times New Roman" w:hAnsi="Times New Roman" w:eastAsia="仿宋_GB2312" w:cs="仿宋_GB2312"/>
          <w:sz w:val="32"/>
          <w:szCs w:val="32"/>
          <w:lang w:val="en-US" w:eastAsia="zh-CN"/>
        </w:rPr>
        <w:t>的2258个项目团队、11000余名人才报名参赛，其中海外项目</w:t>
      </w:r>
      <w:r>
        <w:rPr>
          <w:rFonts w:hint="eastAsia" w:ascii="Times New Roman" w:hAnsi="Times New Roman" w:eastAsia="仿宋_GB2312" w:cs="仿宋_GB2312"/>
          <w:sz w:val="32"/>
          <w:szCs w:val="32"/>
        </w:rPr>
        <w:t>925个</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外籍人才4600余名，</w:t>
      </w:r>
      <w:r>
        <w:rPr>
          <w:rFonts w:hint="default" w:ascii="Times New Roman" w:hAnsi="Times New Roman" w:eastAsia="仿宋_GB2312" w:cs="Times New Roman"/>
          <w:b w:val="0"/>
          <w:bCs/>
          <w:sz w:val="32"/>
          <w:szCs w:val="32"/>
          <w:lang w:val="en-US" w:eastAsia="zh-CN"/>
        </w:rPr>
        <w:t>对国际人才来朝阳创新创业工作产生重大积极影响</w:t>
      </w:r>
      <w:r>
        <w:rPr>
          <w:rFonts w:hint="default" w:ascii="Times New Roman" w:hAnsi="Times New Roman" w:eastAsia="仿宋_GB2312" w:cs="Times New Roman"/>
          <w:b w:val="0"/>
          <w:bCs/>
          <w:sz w:val="32"/>
          <w:szCs w:val="32"/>
          <w:lang w:eastAsia="zh-CN"/>
        </w:rPr>
        <w:t>。</w:t>
      </w:r>
    </w:p>
    <w:p w14:paraId="37A4FF6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 服务对象满意度</w:t>
      </w:r>
    </w:p>
    <w:p w14:paraId="53142AA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textAlignment w:val="auto"/>
        <w:rPr>
          <w:rFonts w:hint="default" w:ascii="Times New Roman" w:hAnsi="Times New Roman" w:eastAsia="仿宋_GB2312" w:cs="Times New Roman"/>
          <w:b w:val="0"/>
          <w:bCs/>
          <w:sz w:val="32"/>
          <w:szCs w:val="32"/>
          <w:lang w:val="en-US" w:eastAsia="zh-CN"/>
        </w:rPr>
      </w:pPr>
      <w:bookmarkStart w:id="8" w:name="_Toc525636039"/>
      <w:bookmarkStart w:id="9" w:name="_Toc525635117"/>
      <w:bookmarkStart w:id="10" w:name="_Toc63583618"/>
      <w:r>
        <w:rPr>
          <w:rFonts w:hint="default" w:ascii="Times New Roman" w:hAnsi="Times New Roman" w:eastAsia="仿宋_GB2312" w:cs="Times New Roman"/>
          <w:b w:val="0"/>
          <w:bCs/>
          <w:sz w:val="32"/>
          <w:szCs w:val="32"/>
          <w:lang w:val="en-US" w:eastAsia="zh-CN"/>
        </w:rPr>
        <w:t>通过人才走访、发放调查问卷及电话回访的方式，申报人对申报结果认可</w:t>
      </w:r>
      <w:r>
        <w:rPr>
          <w:rFonts w:hint="eastAsia" w:ascii="Times New Roman" w:hAnsi="Times New Roman" w:eastAsia="仿宋_GB2312" w:cs="Times New Roman"/>
          <w:b w:val="0"/>
          <w:bCs/>
          <w:sz w:val="32"/>
          <w:szCs w:val="32"/>
          <w:lang w:val="en-US" w:eastAsia="zh-CN"/>
        </w:rPr>
        <w:t>，</w:t>
      </w:r>
      <w:r>
        <w:rPr>
          <w:rFonts w:hint="default" w:ascii="Times New Roman" w:hAnsi="Times New Roman" w:eastAsia="仿宋_GB2312" w:cs="Times New Roman"/>
          <w:b w:val="0"/>
          <w:bCs/>
          <w:sz w:val="32"/>
          <w:szCs w:val="32"/>
          <w:lang w:val="en-US" w:eastAsia="zh-CN"/>
        </w:rPr>
        <w:t>吸引来朝阳工作的人才对政策对接满意度</w:t>
      </w:r>
      <w:r>
        <w:rPr>
          <w:rFonts w:hint="eastAsia" w:ascii="Times New Roman" w:hAnsi="Times New Roman" w:eastAsia="仿宋_GB2312" w:cs="Times New Roman"/>
          <w:b w:val="0"/>
          <w:bCs/>
          <w:sz w:val="32"/>
          <w:szCs w:val="32"/>
          <w:lang w:val="en-US" w:eastAsia="zh-CN"/>
        </w:rPr>
        <w:t>高</w:t>
      </w:r>
      <w:r>
        <w:rPr>
          <w:rFonts w:hint="default" w:ascii="Times New Roman" w:hAnsi="Times New Roman" w:eastAsia="仿宋_GB2312" w:cs="Times New Roman"/>
          <w:b w:val="0"/>
          <w:bCs/>
          <w:sz w:val="32"/>
          <w:szCs w:val="32"/>
          <w:lang w:val="en-US" w:eastAsia="zh-CN"/>
        </w:rPr>
        <w:t>。</w:t>
      </w:r>
    </w:p>
    <w:p w14:paraId="7694FB23">
      <w:pPr>
        <w:pStyle w:val="2"/>
        <w:rPr>
          <w:rFonts w:hint="default" w:ascii="Times New Roman" w:hAnsi="Times New Roman" w:eastAsia="仿宋_GB2312" w:cs="Times New Roman"/>
          <w:b w:val="0"/>
          <w:bCs/>
          <w:sz w:val="32"/>
          <w:szCs w:val="32"/>
          <w:lang w:val="en-US" w:eastAsia="zh-CN"/>
        </w:rPr>
      </w:pPr>
    </w:p>
    <w:p w14:paraId="21F8FD20">
      <w:pPr>
        <w:pStyle w:val="2"/>
        <w:rPr>
          <w:rFonts w:hint="default" w:ascii="Times New Roman" w:hAnsi="Times New Roman" w:eastAsia="仿宋_GB2312" w:cs="Times New Roman"/>
          <w:b w:val="0"/>
          <w:bCs/>
          <w:sz w:val="32"/>
          <w:szCs w:val="32"/>
        </w:rPr>
      </w:pPr>
    </w:p>
    <w:p w14:paraId="6291893E">
      <w:pPr>
        <w:pStyle w:val="2"/>
        <w:ind w:firstLine="3520" w:firstLineChars="1100"/>
        <w:rPr>
          <w:rFonts w:hint="default" w:ascii="Times New Roman" w:hAnsi="Times New Roman" w:eastAsia="仿宋_GB2312" w:cs="Times New Roman"/>
          <w:b w:val="0"/>
          <w:bCs/>
          <w:sz w:val="32"/>
          <w:szCs w:val="32"/>
        </w:rPr>
      </w:pPr>
    </w:p>
    <w:p w14:paraId="287B7FBC">
      <w:pPr>
        <w:pStyle w:val="2"/>
        <w:ind w:firstLine="3840" w:firstLineChars="120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北京市朝阳区高层次人才服务中心</w:t>
      </w:r>
    </w:p>
    <w:p w14:paraId="01733DF6">
      <w:pPr>
        <w:pStyle w:val="2"/>
        <w:ind w:firstLine="5440" w:firstLineChars="1700"/>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2025年9月1日</w:t>
      </w:r>
    </w:p>
    <w:bookmarkEnd w:id="8"/>
    <w:bookmarkEnd w:id="9"/>
    <w:bookmarkEnd w:id="10"/>
    <w:p w14:paraId="0412EB88"/>
    <w:sectPr>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CA2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2579</Words>
  <Characters>2785</Characters>
  <Lines>0</Lines>
  <Paragraphs>0</Paragraphs>
  <TotalTime>0</TotalTime>
  <ScaleCrop>false</ScaleCrop>
  <LinksUpToDate>false</LinksUpToDate>
  <CharactersWithSpaces>2791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2023-12-10T09:18:00Z</dcterms:created>
  <dc:creator>dulinyue</dc:creator>
  <cp:lastModifiedBy>杜林越</cp:lastModifiedBy>
  <dcterms:modified xsi:type="dcterms:W3CDTF">2025-09-08T09:34:55Z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6FCE2C0313A34EFF8E09C2690DEEE1C3_13</vt:lpwstr>
  </property>
  <property fmtid="{D5CDD505-2E9C-101B-9397-08002B2CF9AE}" pid="4" name="KSOTemplateDocerSaveRecord">
    <vt:lpwstr>eyJoZGlkIjoiODM4MmQ1MWE2NDQ5NmQ3ZmY3ZGIzZWMzZjZlMmYwYzgiLCJ1c2VySWQiOiIyNTI5ODEwMjgifQ==</vt:lpwstr>
  </property>
</Properties>
</file>